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1A7CA" w14:textId="77777777" w:rsidR="000B7810" w:rsidRPr="00657009" w:rsidRDefault="000B7810" w:rsidP="005274F7">
      <w:pPr>
        <w:tabs>
          <w:tab w:val="left" w:leader="underscore" w:pos="9639"/>
        </w:tabs>
        <w:spacing w:after="0"/>
        <w:ind w:left="9639" w:hanging="9639"/>
        <w:jc w:val="center"/>
        <w:rPr>
          <w:rFonts w:ascii="Times New Roman" w:hAnsi="Times New Roman"/>
          <w:sz w:val="24"/>
          <w:szCs w:val="24"/>
        </w:rPr>
      </w:pPr>
    </w:p>
    <w:p w14:paraId="4D8EA355" w14:textId="77777777" w:rsidR="000B7810" w:rsidRPr="00657009" w:rsidRDefault="000B7810" w:rsidP="005274F7">
      <w:pPr>
        <w:tabs>
          <w:tab w:val="left" w:leader="underscore" w:pos="9639"/>
        </w:tabs>
        <w:spacing w:after="0"/>
        <w:jc w:val="center"/>
        <w:rPr>
          <w:rFonts w:ascii="Times New Roman" w:hAnsi="Times New Roman"/>
          <w:sz w:val="24"/>
          <w:szCs w:val="24"/>
        </w:rPr>
      </w:pPr>
    </w:p>
    <w:p w14:paraId="741CE17F" w14:textId="67477F15" w:rsidR="007D1E76" w:rsidRDefault="0068769E" w:rsidP="005274F7">
      <w:pPr>
        <w:tabs>
          <w:tab w:val="left" w:leader="underscore" w:pos="9639"/>
        </w:tabs>
        <w:spacing w:after="0"/>
        <w:jc w:val="center"/>
        <w:rPr>
          <w:rStyle w:val="Hipervnculo"/>
          <w:rFonts w:cs="Calibri"/>
          <w:b/>
          <w:sz w:val="28"/>
          <w:szCs w:val="28"/>
        </w:rPr>
      </w:pPr>
      <w:hyperlink r:id="rId11" w:history="1">
        <w:r w:rsidR="007D1E76" w:rsidRPr="00E74967">
          <w:rPr>
            <w:rStyle w:val="Hipervnculo"/>
            <w:rFonts w:cs="Calibri"/>
            <w:b/>
            <w:sz w:val="28"/>
            <w:szCs w:val="28"/>
          </w:rPr>
          <w:t>NOTAS DE GESTIÓN ADMINISTRATIVA</w:t>
        </w:r>
      </w:hyperlink>
    </w:p>
    <w:p w14:paraId="3CE32E15" w14:textId="37E81CA8" w:rsidR="007F362E" w:rsidRPr="00E74967" w:rsidRDefault="00E67152" w:rsidP="005274F7">
      <w:pPr>
        <w:tabs>
          <w:tab w:val="left" w:leader="underscore" w:pos="9639"/>
        </w:tabs>
        <w:spacing w:after="0"/>
        <w:jc w:val="center"/>
        <w:rPr>
          <w:rFonts w:cs="Calibri"/>
          <w:b/>
          <w:sz w:val="28"/>
          <w:szCs w:val="28"/>
        </w:rPr>
      </w:pPr>
      <w:r>
        <w:rPr>
          <w:rStyle w:val="Hipervnculo"/>
          <w:rFonts w:cs="Calibri"/>
          <w:b/>
          <w:sz w:val="28"/>
          <w:szCs w:val="28"/>
        </w:rPr>
        <w:t>Al 31 DE MARZO DEL 2023</w:t>
      </w:r>
    </w:p>
    <w:p w14:paraId="1303BB60" w14:textId="77777777" w:rsidR="007D1E76" w:rsidRPr="00E74967" w:rsidRDefault="007D1E76" w:rsidP="005274F7">
      <w:pPr>
        <w:tabs>
          <w:tab w:val="left" w:leader="underscore" w:pos="9639"/>
        </w:tabs>
        <w:spacing w:after="0"/>
        <w:jc w:val="both"/>
        <w:rPr>
          <w:rFonts w:cs="Calibri"/>
        </w:rPr>
      </w:pPr>
    </w:p>
    <w:p w14:paraId="11381DA1" w14:textId="77777777" w:rsidR="007D1E76" w:rsidRPr="00E74967" w:rsidRDefault="007D1E76" w:rsidP="005274F7">
      <w:pPr>
        <w:tabs>
          <w:tab w:val="left" w:leader="underscore" w:pos="9639"/>
        </w:tabs>
        <w:spacing w:after="0"/>
        <w:jc w:val="both"/>
        <w:rPr>
          <w:rFonts w:cs="Calibri"/>
        </w:rPr>
      </w:pPr>
    </w:p>
    <w:p w14:paraId="30D57578" w14:textId="77777777" w:rsidR="007D1E76" w:rsidRPr="00E74967" w:rsidRDefault="007D1E76" w:rsidP="005274F7">
      <w:pPr>
        <w:tabs>
          <w:tab w:val="left" w:leader="underscore" w:pos="9639"/>
        </w:tabs>
        <w:spacing w:after="0"/>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808371E" w14:textId="77777777" w:rsidR="007D1E76" w:rsidRPr="00E74967" w:rsidRDefault="007D1E76" w:rsidP="005274F7">
      <w:pPr>
        <w:tabs>
          <w:tab w:val="left" w:leader="underscore" w:pos="9639"/>
        </w:tabs>
        <w:spacing w:after="0"/>
        <w:jc w:val="both"/>
        <w:rPr>
          <w:rFonts w:cs="Calibri"/>
        </w:rPr>
      </w:pPr>
    </w:p>
    <w:p w14:paraId="3E37280E" w14:textId="77777777" w:rsidR="007D1E76" w:rsidRPr="00E74967" w:rsidRDefault="007D1E76" w:rsidP="005274F7">
      <w:pPr>
        <w:tabs>
          <w:tab w:val="left" w:leader="underscore" w:pos="9639"/>
        </w:tabs>
        <w:spacing w:after="0"/>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50876BA" w14:textId="77777777" w:rsidR="007D1E76" w:rsidRPr="00E74967" w:rsidRDefault="007D1E76" w:rsidP="005274F7">
      <w:pPr>
        <w:tabs>
          <w:tab w:val="left" w:leader="underscore" w:pos="9639"/>
        </w:tabs>
        <w:spacing w:after="0"/>
        <w:jc w:val="both"/>
        <w:rPr>
          <w:rFonts w:cs="Calibri"/>
        </w:rPr>
      </w:pPr>
    </w:p>
    <w:p w14:paraId="10BFAF04" w14:textId="77777777" w:rsidR="007D1E76" w:rsidRPr="00E74967" w:rsidRDefault="007D1E76" w:rsidP="005274F7">
      <w:pPr>
        <w:tabs>
          <w:tab w:val="left" w:leader="underscore" w:pos="9639"/>
        </w:tabs>
        <w:spacing w:after="0"/>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A9E015" w14:textId="77777777" w:rsidR="007D1E76" w:rsidRPr="00E74967" w:rsidRDefault="007D1E76" w:rsidP="005274F7">
      <w:pPr>
        <w:pStyle w:val="Prrafodelista"/>
        <w:tabs>
          <w:tab w:val="left" w:leader="underscore" w:pos="9639"/>
        </w:tabs>
        <w:spacing w:after="0"/>
        <w:jc w:val="both"/>
        <w:rPr>
          <w:rFonts w:cs="Calibri"/>
        </w:rPr>
      </w:pPr>
    </w:p>
    <w:p w14:paraId="24063EE0" w14:textId="77777777" w:rsidR="007D1E76" w:rsidRPr="00E74967" w:rsidRDefault="007D1E76" w:rsidP="005274F7">
      <w:pPr>
        <w:pStyle w:val="Prrafodelista"/>
        <w:numPr>
          <w:ilvl w:val="0"/>
          <w:numId w:val="1"/>
        </w:numPr>
        <w:tabs>
          <w:tab w:val="left" w:leader="underscore" w:pos="9639"/>
        </w:tabs>
        <w:spacing w:after="0"/>
        <w:jc w:val="both"/>
        <w:rPr>
          <w:rFonts w:cs="Calibri"/>
        </w:rPr>
      </w:pPr>
      <w:r w:rsidRPr="00E74967">
        <w:rPr>
          <w:rFonts w:cs="Calibri"/>
        </w:rPr>
        <w:t>Las notas de gestión administrativa deben contener los siguientes puntos:</w:t>
      </w:r>
    </w:p>
    <w:p w14:paraId="1EA6E886" w14:textId="77777777" w:rsidR="007D1E76" w:rsidRDefault="007D1E76" w:rsidP="005274F7">
      <w:pPr>
        <w:tabs>
          <w:tab w:val="left" w:leader="underscore" w:pos="9639"/>
        </w:tabs>
        <w:spacing w:after="0"/>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4332BA8" w14:textId="77777777" w:rsidR="00F46719" w:rsidRDefault="00F46719" w:rsidP="005274F7">
          <w:pPr>
            <w:pStyle w:val="TtuloTDC"/>
            <w:spacing w:line="276" w:lineRule="auto"/>
          </w:pPr>
          <w:r>
            <w:rPr>
              <w:lang w:val="es-ES"/>
            </w:rPr>
            <w:t>Contenido</w:t>
          </w:r>
        </w:p>
        <w:p w14:paraId="695E59DB" w14:textId="3357CCFE" w:rsidR="00D573B0" w:rsidRDefault="00F46719">
          <w:pPr>
            <w:pStyle w:val="TDC2"/>
            <w:tabs>
              <w:tab w:val="right" w:leader="dot" w:pos="10699"/>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37545520" w:history="1">
            <w:r w:rsidR="00D573B0" w:rsidRPr="00871088">
              <w:rPr>
                <w:rStyle w:val="Hipervnculo"/>
                <w:rFonts w:cstheme="minorHAnsi"/>
                <w:b/>
                <w:noProof/>
              </w:rPr>
              <w:t>INTRODUCCIÓN:</w:t>
            </w:r>
            <w:r w:rsidR="00D573B0">
              <w:rPr>
                <w:noProof/>
                <w:webHidden/>
              </w:rPr>
              <w:tab/>
            </w:r>
            <w:r w:rsidR="00D573B0">
              <w:rPr>
                <w:noProof/>
                <w:webHidden/>
              </w:rPr>
              <w:fldChar w:fldCharType="begin"/>
            </w:r>
            <w:r w:rsidR="00D573B0">
              <w:rPr>
                <w:noProof/>
                <w:webHidden/>
              </w:rPr>
              <w:instrText xml:space="preserve"> PAGEREF _Toc137545520 \h </w:instrText>
            </w:r>
            <w:r w:rsidR="00D573B0">
              <w:rPr>
                <w:noProof/>
                <w:webHidden/>
              </w:rPr>
            </w:r>
            <w:r w:rsidR="00D573B0">
              <w:rPr>
                <w:noProof/>
                <w:webHidden/>
              </w:rPr>
              <w:fldChar w:fldCharType="separate"/>
            </w:r>
            <w:r w:rsidR="00A137B0">
              <w:rPr>
                <w:noProof/>
                <w:webHidden/>
              </w:rPr>
              <w:t>2</w:t>
            </w:r>
            <w:r w:rsidR="00D573B0">
              <w:rPr>
                <w:noProof/>
                <w:webHidden/>
              </w:rPr>
              <w:fldChar w:fldCharType="end"/>
            </w:r>
          </w:hyperlink>
        </w:p>
        <w:p w14:paraId="63AA288F" w14:textId="78A0467F" w:rsidR="00D573B0" w:rsidRDefault="0068769E">
          <w:pPr>
            <w:pStyle w:val="TDC2"/>
            <w:tabs>
              <w:tab w:val="right" w:leader="dot" w:pos="10699"/>
            </w:tabs>
            <w:rPr>
              <w:rFonts w:asciiTheme="minorHAnsi" w:eastAsiaTheme="minorEastAsia" w:hAnsiTheme="minorHAnsi" w:cstheme="minorBidi"/>
              <w:noProof/>
              <w:lang w:eastAsia="es-MX"/>
            </w:rPr>
          </w:pPr>
          <w:hyperlink w:anchor="_Toc137545521" w:history="1">
            <w:r w:rsidR="00D573B0" w:rsidRPr="00871088">
              <w:rPr>
                <w:rStyle w:val="Hipervnculo"/>
                <w:rFonts w:cstheme="minorHAnsi"/>
                <w:b/>
                <w:noProof/>
              </w:rPr>
              <w:t>1. Autorización e Historia:</w:t>
            </w:r>
            <w:r w:rsidR="00D573B0">
              <w:rPr>
                <w:noProof/>
                <w:webHidden/>
              </w:rPr>
              <w:tab/>
            </w:r>
            <w:r w:rsidR="00D573B0">
              <w:rPr>
                <w:noProof/>
                <w:webHidden/>
              </w:rPr>
              <w:fldChar w:fldCharType="begin"/>
            </w:r>
            <w:r w:rsidR="00D573B0">
              <w:rPr>
                <w:noProof/>
                <w:webHidden/>
              </w:rPr>
              <w:instrText xml:space="preserve"> PAGEREF _Toc137545521 \h </w:instrText>
            </w:r>
            <w:r w:rsidR="00D573B0">
              <w:rPr>
                <w:noProof/>
                <w:webHidden/>
              </w:rPr>
            </w:r>
            <w:r w:rsidR="00D573B0">
              <w:rPr>
                <w:noProof/>
                <w:webHidden/>
              </w:rPr>
              <w:fldChar w:fldCharType="separate"/>
            </w:r>
            <w:r w:rsidR="00A137B0">
              <w:rPr>
                <w:noProof/>
                <w:webHidden/>
              </w:rPr>
              <w:t>2</w:t>
            </w:r>
            <w:r w:rsidR="00D573B0">
              <w:rPr>
                <w:noProof/>
                <w:webHidden/>
              </w:rPr>
              <w:fldChar w:fldCharType="end"/>
            </w:r>
          </w:hyperlink>
        </w:p>
        <w:p w14:paraId="11E2D569" w14:textId="7A12DDB1" w:rsidR="00D573B0" w:rsidRDefault="0068769E">
          <w:pPr>
            <w:pStyle w:val="TDC2"/>
            <w:tabs>
              <w:tab w:val="right" w:leader="dot" w:pos="10699"/>
            </w:tabs>
            <w:rPr>
              <w:rFonts w:asciiTheme="minorHAnsi" w:eastAsiaTheme="minorEastAsia" w:hAnsiTheme="minorHAnsi" w:cstheme="minorBidi"/>
              <w:noProof/>
              <w:lang w:eastAsia="es-MX"/>
            </w:rPr>
          </w:pPr>
          <w:hyperlink w:anchor="_Toc137545522" w:history="1">
            <w:r w:rsidR="00D573B0" w:rsidRPr="00871088">
              <w:rPr>
                <w:rStyle w:val="Hipervnculo"/>
                <w:rFonts w:cstheme="minorHAnsi"/>
                <w:b/>
                <w:noProof/>
              </w:rPr>
              <w:t>2. Panorama Económico y Financiero:</w:t>
            </w:r>
            <w:r w:rsidR="00D573B0">
              <w:rPr>
                <w:noProof/>
                <w:webHidden/>
              </w:rPr>
              <w:tab/>
            </w:r>
            <w:r w:rsidR="00D573B0">
              <w:rPr>
                <w:noProof/>
                <w:webHidden/>
              </w:rPr>
              <w:fldChar w:fldCharType="begin"/>
            </w:r>
            <w:r w:rsidR="00D573B0">
              <w:rPr>
                <w:noProof/>
                <w:webHidden/>
              </w:rPr>
              <w:instrText xml:space="preserve"> PAGEREF _Toc137545522 \h </w:instrText>
            </w:r>
            <w:r w:rsidR="00D573B0">
              <w:rPr>
                <w:noProof/>
                <w:webHidden/>
              </w:rPr>
            </w:r>
            <w:r w:rsidR="00D573B0">
              <w:rPr>
                <w:noProof/>
                <w:webHidden/>
              </w:rPr>
              <w:fldChar w:fldCharType="separate"/>
            </w:r>
            <w:r w:rsidR="00A137B0">
              <w:rPr>
                <w:noProof/>
                <w:webHidden/>
              </w:rPr>
              <w:t>2</w:t>
            </w:r>
            <w:r w:rsidR="00D573B0">
              <w:rPr>
                <w:noProof/>
                <w:webHidden/>
              </w:rPr>
              <w:fldChar w:fldCharType="end"/>
            </w:r>
          </w:hyperlink>
        </w:p>
        <w:p w14:paraId="4621E05B" w14:textId="7EC00089" w:rsidR="00D573B0" w:rsidRDefault="0068769E">
          <w:pPr>
            <w:pStyle w:val="TDC2"/>
            <w:tabs>
              <w:tab w:val="right" w:leader="dot" w:pos="10699"/>
            </w:tabs>
            <w:rPr>
              <w:rFonts w:asciiTheme="minorHAnsi" w:eastAsiaTheme="minorEastAsia" w:hAnsiTheme="minorHAnsi" w:cstheme="minorBidi"/>
              <w:noProof/>
              <w:lang w:eastAsia="es-MX"/>
            </w:rPr>
          </w:pPr>
          <w:hyperlink w:anchor="_Toc137545523" w:history="1">
            <w:r w:rsidR="00D573B0" w:rsidRPr="00871088">
              <w:rPr>
                <w:rStyle w:val="Hipervnculo"/>
                <w:rFonts w:cstheme="minorHAnsi"/>
                <w:b/>
                <w:noProof/>
              </w:rPr>
              <w:t>3. Organización y Objeto Social:</w:t>
            </w:r>
            <w:r w:rsidR="00D573B0">
              <w:rPr>
                <w:noProof/>
                <w:webHidden/>
              </w:rPr>
              <w:tab/>
            </w:r>
            <w:r w:rsidR="00D573B0">
              <w:rPr>
                <w:noProof/>
                <w:webHidden/>
              </w:rPr>
              <w:fldChar w:fldCharType="begin"/>
            </w:r>
            <w:r w:rsidR="00D573B0">
              <w:rPr>
                <w:noProof/>
                <w:webHidden/>
              </w:rPr>
              <w:instrText xml:space="preserve"> PAGEREF _Toc137545523 \h </w:instrText>
            </w:r>
            <w:r w:rsidR="00D573B0">
              <w:rPr>
                <w:noProof/>
                <w:webHidden/>
              </w:rPr>
            </w:r>
            <w:r w:rsidR="00D573B0">
              <w:rPr>
                <w:noProof/>
                <w:webHidden/>
              </w:rPr>
              <w:fldChar w:fldCharType="separate"/>
            </w:r>
            <w:r w:rsidR="00A137B0">
              <w:rPr>
                <w:noProof/>
                <w:webHidden/>
              </w:rPr>
              <w:t>3</w:t>
            </w:r>
            <w:r w:rsidR="00D573B0">
              <w:rPr>
                <w:noProof/>
                <w:webHidden/>
              </w:rPr>
              <w:fldChar w:fldCharType="end"/>
            </w:r>
          </w:hyperlink>
        </w:p>
        <w:p w14:paraId="1CA8DA47" w14:textId="356C4A4E" w:rsidR="00D573B0" w:rsidRDefault="0068769E">
          <w:pPr>
            <w:pStyle w:val="TDC2"/>
            <w:tabs>
              <w:tab w:val="right" w:leader="dot" w:pos="10699"/>
            </w:tabs>
            <w:rPr>
              <w:rFonts w:asciiTheme="minorHAnsi" w:eastAsiaTheme="minorEastAsia" w:hAnsiTheme="minorHAnsi" w:cstheme="minorBidi"/>
              <w:noProof/>
              <w:lang w:eastAsia="es-MX"/>
            </w:rPr>
          </w:pPr>
          <w:hyperlink w:anchor="_Toc137545524" w:history="1">
            <w:r w:rsidR="00D573B0" w:rsidRPr="00871088">
              <w:rPr>
                <w:rStyle w:val="Hipervnculo"/>
                <w:rFonts w:cstheme="minorHAnsi"/>
                <w:b/>
                <w:noProof/>
              </w:rPr>
              <w:t>4. Bases de Preparación de los Estados Financieros:</w:t>
            </w:r>
            <w:r w:rsidR="00D573B0">
              <w:rPr>
                <w:noProof/>
                <w:webHidden/>
              </w:rPr>
              <w:tab/>
            </w:r>
            <w:r w:rsidR="00D573B0">
              <w:rPr>
                <w:noProof/>
                <w:webHidden/>
              </w:rPr>
              <w:fldChar w:fldCharType="begin"/>
            </w:r>
            <w:r w:rsidR="00D573B0">
              <w:rPr>
                <w:noProof/>
                <w:webHidden/>
              </w:rPr>
              <w:instrText xml:space="preserve"> PAGEREF _Toc137545524 \h </w:instrText>
            </w:r>
            <w:r w:rsidR="00D573B0">
              <w:rPr>
                <w:noProof/>
                <w:webHidden/>
              </w:rPr>
            </w:r>
            <w:r w:rsidR="00D573B0">
              <w:rPr>
                <w:noProof/>
                <w:webHidden/>
              </w:rPr>
              <w:fldChar w:fldCharType="separate"/>
            </w:r>
            <w:r w:rsidR="00A137B0">
              <w:rPr>
                <w:noProof/>
                <w:webHidden/>
              </w:rPr>
              <w:t>4</w:t>
            </w:r>
            <w:r w:rsidR="00D573B0">
              <w:rPr>
                <w:noProof/>
                <w:webHidden/>
              </w:rPr>
              <w:fldChar w:fldCharType="end"/>
            </w:r>
          </w:hyperlink>
        </w:p>
        <w:p w14:paraId="14CA99C2" w14:textId="317273E9" w:rsidR="00D573B0" w:rsidRDefault="0068769E">
          <w:pPr>
            <w:pStyle w:val="TDC2"/>
            <w:tabs>
              <w:tab w:val="right" w:leader="dot" w:pos="10699"/>
            </w:tabs>
            <w:rPr>
              <w:rFonts w:asciiTheme="minorHAnsi" w:eastAsiaTheme="minorEastAsia" w:hAnsiTheme="minorHAnsi" w:cstheme="minorBidi"/>
              <w:noProof/>
              <w:lang w:eastAsia="es-MX"/>
            </w:rPr>
          </w:pPr>
          <w:hyperlink w:anchor="_Toc137545525" w:history="1">
            <w:r w:rsidR="00D573B0" w:rsidRPr="00871088">
              <w:rPr>
                <w:rStyle w:val="Hipervnculo"/>
                <w:rFonts w:cstheme="minorHAnsi"/>
                <w:b/>
                <w:noProof/>
              </w:rPr>
              <w:t>5. Políticas de Contabilidad Significativas:</w:t>
            </w:r>
            <w:r w:rsidR="00D573B0">
              <w:rPr>
                <w:noProof/>
                <w:webHidden/>
              </w:rPr>
              <w:tab/>
            </w:r>
            <w:r w:rsidR="00D573B0">
              <w:rPr>
                <w:noProof/>
                <w:webHidden/>
              </w:rPr>
              <w:fldChar w:fldCharType="begin"/>
            </w:r>
            <w:r w:rsidR="00D573B0">
              <w:rPr>
                <w:noProof/>
                <w:webHidden/>
              </w:rPr>
              <w:instrText xml:space="preserve"> PAGEREF _Toc137545525 \h </w:instrText>
            </w:r>
            <w:r w:rsidR="00D573B0">
              <w:rPr>
                <w:noProof/>
                <w:webHidden/>
              </w:rPr>
            </w:r>
            <w:r w:rsidR="00D573B0">
              <w:rPr>
                <w:noProof/>
                <w:webHidden/>
              </w:rPr>
              <w:fldChar w:fldCharType="separate"/>
            </w:r>
            <w:r w:rsidR="00A137B0">
              <w:rPr>
                <w:noProof/>
                <w:webHidden/>
              </w:rPr>
              <w:t>6</w:t>
            </w:r>
            <w:r w:rsidR="00D573B0">
              <w:rPr>
                <w:noProof/>
                <w:webHidden/>
              </w:rPr>
              <w:fldChar w:fldCharType="end"/>
            </w:r>
          </w:hyperlink>
        </w:p>
        <w:p w14:paraId="3B79514A" w14:textId="2EB1641D" w:rsidR="00D573B0" w:rsidRDefault="0068769E">
          <w:pPr>
            <w:pStyle w:val="TDC2"/>
            <w:tabs>
              <w:tab w:val="right" w:leader="dot" w:pos="10699"/>
            </w:tabs>
            <w:rPr>
              <w:rFonts w:asciiTheme="minorHAnsi" w:eastAsiaTheme="minorEastAsia" w:hAnsiTheme="minorHAnsi" w:cstheme="minorBidi"/>
              <w:noProof/>
              <w:lang w:eastAsia="es-MX"/>
            </w:rPr>
          </w:pPr>
          <w:hyperlink w:anchor="_Toc137545526" w:history="1">
            <w:r w:rsidR="00D573B0" w:rsidRPr="00871088">
              <w:rPr>
                <w:rStyle w:val="Hipervnculo"/>
                <w:rFonts w:cstheme="minorHAnsi"/>
                <w:b/>
                <w:noProof/>
              </w:rPr>
              <w:t>6. Posición en Moneda Extranjera y Protección por Riesgo Cambiario:</w:t>
            </w:r>
            <w:r w:rsidR="00D573B0">
              <w:rPr>
                <w:noProof/>
                <w:webHidden/>
              </w:rPr>
              <w:tab/>
            </w:r>
            <w:r w:rsidR="00D573B0">
              <w:rPr>
                <w:noProof/>
                <w:webHidden/>
              </w:rPr>
              <w:fldChar w:fldCharType="begin"/>
            </w:r>
            <w:r w:rsidR="00D573B0">
              <w:rPr>
                <w:noProof/>
                <w:webHidden/>
              </w:rPr>
              <w:instrText xml:space="preserve"> PAGEREF _Toc137545526 \h </w:instrText>
            </w:r>
            <w:r w:rsidR="00D573B0">
              <w:rPr>
                <w:noProof/>
                <w:webHidden/>
              </w:rPr>
            </w:r>
            <w:r w:rsidR="00D573B0">
              <w:rPr>
                <w:noProof/>
                <w:webHidden/>
              </w:rPr>
              <w:fldChar w:fldCharType="separate"/>
            </w:r>
            <w:r w:rsidR="00A137B0">
              <w:rPr>
                <w:noProof/>
                <w:webHidden/>
              </w:rPr>
              <w:t>7</w:t>
            </w:r>
            <w:r w:rsidR="00D573B0">
              <w:rPr>
                <w:noProof/>
                <w:webHidden/>
              </w:rPr>
              <w:fldChar w:fldCharType="end"/>
            </w:r>
          </w:hyperlink>
        </w:p>
        <w:p w14:paraId="383044FF" w14:textId="3578355F" w:rsidR="00D573B0" w:rsidRDefault="0068769E">
          <w:pPr>
            <w:pStyle w:val="TDC2"/>
            <w:tabs>
              <w:tab w:val="right" w:leader="dot" w:pos="10699"/>
            </w:tabs>
            <w:rPr>
              <w:rFonts w:asciiTheme="minorHAnsi" w:eastAsiaTheme="minorEastAsia" w:hAnsiTheme="minorHAnsi" w:cstheme="minorBidi"/>
              <w:noProof/>
              <w:lang w:eastAsia="es-MX"/>
            </w:rPr>
          </w:pPr>
          <w:hyperlink w:anchor="_Toc137545527" w:history="1">
            <w:r w:rsidR="00D573B0" w:rsidRPr="00871088">
              <w:rPr>
                <w:rStyle w:val="Hipervnculo"/>
                <w:rFonts w:cstheme="minorHAnsi"/>
                <w:b/>
                <w:noProof/>
              </w:rPr>
              <w:t>7. Reporte Analítico del Activo:</w:t>
            </w:r>
            <w:r w:rsidR="00D573B0">
              <w:rPr>
                <w:noProof/>
                <w:webHidden/>
              </w:rPr>
              <w:tab/>
            </w:r>
            <w:r w:rsidR="00D573B0">
              <w:rPr>
                <w:noProof/>
                <w:webHidden/>
              </w:rPr>
              <w:fldChar w:fldCharType="begin"/>
            </w:r>
            <w:r w:rsidR="00D573B0">
              <w:rPr>
                <w:noProof/>
                <w:webHidden/>
              </w:rPr>
              <w:instrText xml:space="preserve"> PAGEREF _Toc137545527 \h </w:instrText>
            </w:r>
            <w:r w:rsidR="00D573B0">
              <w:rPr>
                <w:noProof/>
                <w:webHidden/>
              </w:rPr>
            </w:r>
            <w:r w:rsidR="00D573B0">
              <w:rPr>
                <w:noProof/>
                <w:webHidden/>
              </w:rPr>
              <w:fldChar w:fldCharType="separate"/>
            </w:r>
            <w:r w:rsidR="00A137B0">
              <w:rPr>
                <w:noProof/>
                <w:webHidden/>
              </w:rPr>
              <w:t>8</w:t>
            </w:r>
            <w:r w:rsidR="00D573B0">
              <w:rPr>
                <w:noProof/>
                <w:webHidden/>
              </w:rPr>
              <w:fldChar w:fldCharType="end"/>
            </w:r>
          </w:hyperlink>
        </w:p>
        <w:p w14:paraId="2ED3BE8F" w14:textId="3FE5BBCA" w:rsidR="00D573B0" w:rsidRDefault="0068769E">
          <w:pPr>
            <w:pStyle w:val="TDC2"/>
            <w:tabs>
              <w:tab w:val="right" w:leader="dot" w:pos="10699"/>
            </w:tabs>
            <w:rPr>
              <w:rFonts w:asciiTheme="minorHAnsi" w:eastAsiaTheme="minorEastAsia" w:hAnsiTheme="minorHAnsi" w:cstheme="minorBidi"/>
              <w:noProof/>
              <w:lang w:eastAsia="es-MX"/>
            </w:rPr>
          </w:pPr>
          <w:hyperlink w:anchor="_Toc137545528" w:history="1">
            <w:r w:rsidR="00D573B0" w:rsidRPr="00871088">
              <w:rPr>
                <w:rStyle w:val="Hipervnculo"/>
                <w:rFonts w:cstheme="minorHAnsi"/>
                <w:b/>
                <w:noProof/>
              </w:rPr>
              <w:t>8. Fideicomisos, Mandatos y Análogos:</w:t>
            </w:r>
            <w:r w:rsidR="00D573B0">
              <w:rPr>
                <w:noProof/>
                <w:webHidden/>
              </w:rPr>
              <w:tab/>
            </w:r>
            <w:r w:rsidR="00D573B0">
              <w:rPr>
                <w:noProof/>
                <w:webHidden/>
              </w:rPr>
              <w:fldChar w:fldCharType="begin"/>
            </w:r>
            <w:r w:rsidR="00D573B0">
              <w:rPr>
                <w:noProof/>
                <w:webHidden/>
              </w:rPr>
              <w:instrText xml:space="preserve"> PAGEREF _Toc137545528 \h </w:instrText>
            </w:r>
            <w:r w:rsidR="00D573B0">
              <w:rPr>
                <w:noProof/>
                <w:webHidden/>
              </w:rPr>
            </w:r>
            <w:r w:rsidR="00D573B0">
              <w:rPr>
                <w:noProof/>
                <w:webHidden/>
              </w:rPr>
              <w:fldChar w:fldCharType="separate"/>
            </w:r>
            <w:r w:rsidR="00A137B0">
              <w:rPr>
                <w:noProof/>
                <w:webHidden/>
              </w:rPr>
              <w:t>10</w:t>
            </w:r>
            <w:r w:rsidR="00D573B0">
              <w:rPr>
                <w:noProof/>
                <w:webHidden/>
              </w:rPr>
              <w:fldChar w:fldCharType="end"/>
            </w:r>
          </w:hyperlink>
        </w:p>
        <w:p w14:paraId="0C423836" w14:textId="2A1C25A6" w:rsidR="00D573B0" w:rsidRDefault="0068769E">
          <w:pPr>
            <w:pStyle w:val="TDC2"/>
            <w:tabs>
              <w:tab w:val="right" w:leader="dot" w:pos="10699"/>
            </w:tabs>
            <w:rPr>
              <w:rFonts w:asciiTheme="minorHAnsi" w:eastAsiaTheme="minorEastAsia" w:hAnsiTheme="minorHAnsi" w:cstheme="minorBidi"/>
              <w:noProof/>
              <w:lang w:eastAsia="es-MX"/>
            </w:rPr>
          </w:pPr>
          <w:hyperlink w:anchor="_Toc137545529" w:history="1">
            <w:r w:rsidR="00D573B0" w:rsidRPr="00871088">
              <w:rPr>
                <w:rStyle w:val="Hipervnculo"/>
                <w:rFonts w:cstheme="minorHAnsi"/>
                <w:b/>
                <w:noProof/>
              </w:rPr>
              <w:t>9. Reporte de la Recaudación:</w:t>
            </w:r>
            <w:r w:rsidR="00D573B0">
              <w:rPr>
                <w:noProof/>
                <w:webHidden/>
              </w:rPr>
              <w:tab/>
            </w:r>
            <w:r w:rsidR="00D573B0">
              <w:rPr>
                <w:noProof/>
                <w:webHidden/>
              </w:rPr>
              <w:fldChar w:fldCharType="begin"/>
            </w:r>
            <w:r w:rsidR="00D573B0">
              <w:rPr>
                <w:noProof/>
                <w:webHidden/>
              </w:rPr>
              <w:instrText xml:space="preserve"> PAGEREF _Toc137545529 \h </w:instrText>
            </w:r>
            <w:r w:rsidR="00D573B0">
              <w:rPr>
                <w:noProof/>
                <w:webHidden/>
              </w:rPr>
            </w:r>
            <w:r w:rsidR="00D573B0">
              <w:rPr>
                <w:noProof/>
                <w:webHidden/>
              </w:rPr>
              <w:fldChar w:fldCharType="separate"/>
            </w:r>
            <w:r w:rsidR="00A137B0">
              <w:rPr>
                <w:noProof/>
                <w:webHidden/>
              </w:rPr>
              <w:t>10</w:t>
            </w:r>
            <w:r w:rsidR="00D573B0">
              <w:rPr>
                <w:noProof/>
                <w:webHidden/>
              </w:rPr>
              <w:fldChar w:fldCharType="end"/>
            </w:r>
          </w:hyperlink>
        </w:p>
        <w:p w14:paraId="6373354C" w14:textId="03C73C60" w:rsidR="00D573B0" w:rsidRDefault="0068769E">
          <w:pPr>
            <w:pStyle w:val="TDC2"/>
            <w:tabs>
              <w:tab w:val="right" w:leader="dot" w:pos="10699"/>
            </w:tabs>
            <w:rPr>
              <w:rFonts w:asciiTheme="minorHAnsi" w:eastAsiaTheme="minorEastAsia" w:hAnsiTheme="minorHAnsi" w:cstheme="minorBidi"/>
              <w:noProof/>
              <w:lang w:eastAsia="es-MX"/>
            </w:rPr>
          </w:pPr>
          <w:hyperlink w:anchor="_Toc137545530" w:history="1">
            <w:r w:rsidR="00D573B0" w:rsidRPr="00871088">
              <w:rPr>
                <w:rStyle w:val="Hipervnculo"/>
                <w:rFonts w:cstheme="minorHAnsi"/>
                <w:b/>
                <w:noProof/>
              </w:rPr>
              <w:t>10. Información sobre la Deuda y el Reporte Analítico de la Deuda:</w:t>
            </w:r>
            <w:r w:rsidR="00D573B0">
              <w:rPr>
                <w:noProof/>
                <w:webHidden/>
              </w:rPr>
              <w:tab/>
            </w:r>
            <w:r w:rsidR="00D573B0">
              <w:rPr>
                <w:noProof/>
                <w:webHidden/>
              </w:rPr>
              <w:fldChar w:fldCharType="begin"/>
            </w:r>
            <w:r w:rsidR="00D573B0">
              <w:rPr>
                <w:noProof/>
                <w:webHidden/>
              </w:rPr>
              <w:instrText xml:space="preserve"> PAGEREF _Toc137545530 \h </w:instrText>
            </w:r>
            <w:r w:rsidR="00D573B0">
              <w:rPr>
                <w:noProof/>
                <w:webHidden/>
              </w:rPr>
            </w:r>
            <w:r w:rsidR="00D573B0">
              <w:rPr>
                <w:noProof/>
                <w:webHidden/>
              </w:rPr>
              <w:fldChar w:fldCharType="separate"/>
            </w:r>
            <w:r w:rsidR="00A137B0">
              <w:rPr>
                <w:noProof/>
                <w:webHidden/>
              </w:rPr>
              <w:t>10</w:t>
            </w:r>
            <w:r w:rsidR="00D573B0">
              <w:rPr>
                <w:noProof/>
                <w:webHidden/>
              </w:rPr>
              <w:fldChar w:fldCharType="end"/>
            </w:r>
          </w:hyperlink>
        </w:p>
        <w:p w14:paraId="55D0A1F7" w14:textId="4D1A5AEB" w:rsidR="00D573B0" w:rsidRDefault="0068769E">
          <w:pPr>
            <w:pStyle w:val="TDC2"/>
            <w:tabs>
              <w:tab w:val="right" w:leader="dot" w:pos="10699"/>
            </w:tabs>
            <w:rPr>
              <w:rFonts w:asciiTheme="minorHAnsi" w:eastAsiaTheme="minorEastAsia" w:hAnsiTheme="minorHAnsi" w:cstheme="minorBidi"/>
              <w:noProof/>
              <w:lang w:eastAsia="es-MX"/>
            </w:rPr>
          </w:pPr>
          <w:hyperlink w:anchor="_Toc137545531" w:history="1">
            <w:r w:rsidR="00D573B0" w:rsidRPr="00871088">
              <w:rPr>
                <w:rStyle w:val="Hipervnculo"/>
                <w:rFonts w:cstheme="minorHAnsi"/>
                <w:b/>
                <w:noProof/>
              </w:rPr>
              <w:t>11. Calificaciones otorgadas:</w:t>
            </w:r>
            <w:r w:rsidR="00D573B0">
              <w:rPr>
                <w:noProof/>
                <w:webHidden/>
              </w:rPr>
              <w:tab/>
            </w:r>
            <w:r w:rsidR="00D573B0">
              <w:rPr>
                <w:noProof/>
                <w:webHidden/>
              </w:rPr>
              <w:fldChar w:fldCharType="begin"/>
            </w:r>
            <w:r w:rsidR="00D573B0">
              <w:rPr>
                <w:noProof/>
                <w:webHidden/>
              </w:rPr>
              <w:instrText xml:space="preserve"> PAGEREF _Toc137545531 \h </w:instrText>
            </w:r>
            <w:r w:rsidR="00D573B0">
              <w:rPr>
                <w:noProof/>
                <w:webHidden/>
              </w:rPr>
            </w:r>
            <w:r w:rsidR="00D573B0">
              <w:rPr>
                <w:noProof/>
                <w:webHidden/>
              </w:rPr>
              <w:fldChar w:fldCharType="separate"/>
            </w:r>
            <w:r w:rsidR="00A137B0">
              <w:rPr>
                <w:noProof/>
                <w:webHidden/>
              </w:rPr>
              <w:t>11</w:t>
            </w:r>
            <w:r w:rsidR="00D573B0">
              <w:rPr>
                <w:noProof/>
                <w:webHidden/>
              </w:rPr>
              <w:fldChar w:fldCharType="end"/>
            </w:r>
          </w:hyperlink>
        </w:p>
        <w:p w14:paraId="3FE25626" w14:textId="41258C72" w:rsidR="00D573B0" w:rsidRDefault="0068769E">
          <w:pPr>
            <w:pStyle w:val="TDC2"/>
            <w:tabs>
              <w:tab w:val="right" w:leader="dot" w:pos="10699"/>
            </w:tabs>
            <w:rPr>
              <w:rFonts w:asciiTheme="minorHAnsi" w:eastAsiaTheme="minorEastAsia" w:hAnsiTheme="minorHAnsi" w:cstheme="minorBidi"/>
              <w:noProof/>
              <w:lang w:eastAsia="es-MX"/>
            </w:rPr>
          </w:pPr>
          <w:hyperlink w:anchor="_Toc137545532" w:history="1">
            <w:r w:rsidR="00D573B0" w:rsidRPr="00871088">
              <w:rPr>
                <w:rStyle w:val="Hipervnculo"/>
                <w:rFonts w:cstheme="minorHAnsi"/>
                <w:b/>
                <w:noProof/>
              </w:rPr>
              <w:t>12. Proceso de Mejora:</w:t>
            </w:r>
            <w:r w:rsidR="00D573B0">
              <w:rPr>
                <w:noProof/>
                <w:webHidden/>
              </w:rPr>
              <w:tab/>
            </w:r>
            <w:r w:rsidR="00D573B0">
              <w:rPr>
                <w:noProof/>
                <w:webHidden/>
              </w:rPr>
              <w:fldChar w:fldCharType="begin"/>
            </w:r>
            <w:r w:rsidR="00D573B0">
              <w:rPr>
                <w:noProof/>
                <w:webHidden/>
              </w:rPr>
              <w:instrText xml:space="preserve"> PAGEREF _Toc137545532 \h </w:instrText>
            </w:r>
            <w:r w:rsidR="00D573B0">
              <w:rPr>
                <w:noProof/>
                <w:webHidden/>
              </w:rPr>
            </w:r>
            <w:r w:rsidR="00D573B0">
              <w:rPr>
                <w:noProof/>
                <w:webHidden/>
              </w:rPr>
              <w:fldChar w:fldCharType="separate"/>
            </w:r>
            <w:r w:rsidR="00A137B0">
              <w:rPr>
                <w:noProof/>
                <w:webHidden/>
              </w:rPr>
              <w:t>11</w:t>
            </w:r>
            <w:r w:rsidR="00D573B0">
              <w:rPr>
                <w:noProof/>
                <w:webHidden/>
              </w:rPr>
              <w:fldChar w:fldCharType="end"/>
            </w:r>
          </w:hyperlink>
        </w:p>
        <w:p w14:paraId="690FCC57" w14:textId="39C5C898" w:rsidR="00D573B0" w:rsidRDefault="0068769E">
          <w:pPr>
            <w:pStyle w:val="TDC2"/>
            <w:tabs>
              <w:tab w:val="right" w:leader="dot" w:pos="10699"/>
            </w:tabs>
            <w:rPr>
              <w:rFonts w:asciiTheme="minorHAnsi" w:eastAsiaTheme="minorEastAsia" w:hAnsiTheme="minorHAnsi" w:cstheme="minorBidi"/>
              <w:noProof/>
              <w:lang w:eastAsia="es-MX"/>
            </w:rPr>
          </w:pPr>
          <w:hyperlink w:anchor="_Toc137545533" w:history="1">
            <w:r w:rsidR="00D573B0" w:rsidRPr="00871088">
              <w:rPr>
                <w:rStyle w:val="Hipervnculo"/>
                <w:rFonts w:cstheme="minorHAnsi"/>
                <w:b/>
                <w:noProof/>
              </w:rPr>
              <w:t>13. Información por Segmentos:</w:t>
            </w:r>
            <w:r w:rsidR="00D573B0">
              <w:rPr>
                <w:noProof/>
                <w:webHidden/>
              </w:rPr>
              <w:tab/>
            </w:r>
            <w:r w:rsidR="00D573B0">
              <w:rPr>
                <w:noProof/>
                <w:webHidden/>
              </w:rPr>
              <w:fldChar w:fldCharType="begin"/>
            </w:r>
            <w:r w:rsidR="00D573B0">
              <w:rPr>
                <w:noProof/>
                <w:webHidden/>
              </w:rPr>
              <w:instrText xml:space="preserve"> PAGEREF _Toc137545533 \h </w:instrText>
            </w:r>
            <w:r w:rsidR="00D573B0">
              <w:rPr>
                <w:noProof/>
                <w:webHidden/>
              </w:rPr>
            </w:r>
            <w:r w:rsidR="00D573B0">
              <w:rPr>
                <w:noProof/>
                <w:webHidden/>
              </w:rPr>
              <w:fldChar w:fldCharType="separate"/>
            </w:r>
            <w:r w:rsidR="00A137B0">
              <w:rPr>
                <w:noProof/>
                <w:webHidden/>
              </w:rPr>
              <w:t>11</w:t>
            </w:r>
            <w:r w:rsidR="00D573B0">
              <w:rPr>
                <w:noProof/>
                <w:webHidden/>
              </w:rPr>
              <w:fldChar w:fldCharType="end"/>
            </w:r>
          </w:hyperlink>
        </w:p>
        <w:p w14:paraId="1E1F0BF6" w14:textId="5B59C4CA" w:rsidR="00D573B0" w:rsidRDefault="0068769E">
          <w:pPr>
            <w:pStyle w:val="TDC2"/>
            <w:tabs>
              <w:tab w:val="right" w:leader="dot" w:pos="10699"/>
            </w:tabs>
            <w:rPr>
              <w:rFonts w:asciiTheme="minorHAnsi" w:eastAsiaTheme="minorEastAsia" w:hAnsiTheme="minorHAnsi" w:cstheme="minorBidi"/>
              <w:noProof/>
              <w:lang w:eastAsia="es-MX"/>
            </w:rPr>
          </w:pPr>
          <w:hyperlink w:anchor="_Toc137545534" w:history="1">
            <w:r w:rsidR="00D573B0" w:rsidRPr="00871088">
              <w:rPr>
                <w:rStyle w:val="Hipervnculo"/>
                <w:rFonts w:cstheme="minorHAnsi"/>
                <w:b/>
                <w:noProof/>
              </w:rPr>
              <w:t>14. Eventos Posteriores al Cierre:</w:t>
            </w:r>
            <w:r w:rsidR="00D573B0">
              <w:rPr>
                <w:noProof/>
                <w:webHidden/>
              </w:rPr>
              <w:tab/>
            </w:r>
            <w:r w:rsidR="00D573B0">
              <w:rPr>
                <w:noProof/>
                <w:webHidden/>
              </w:rPr>
              <w:fldChar w:fldCharType="begin"/>
            </w:r>
            <w:r w:rsidR="00D573B0">
              <w:rPr>
                <w:noProof/>
                <w:webHidden/>
              </w:rPr>
              <w:instrText xml:space="preserve"> PAGEREF _Toc137545534 \h </w:instrText>
            </w:r>
            <w:r w:rsidR="00D573B0">
              <w:rPr>
                <w:noProof/>
                <w:webHidden/>
              </w:rPr>
            </w:r>
            <w:r w:rsidR="00D573B0">
              <w:rPr>
                <w:noProof/>
                <w:webHidden/>
              </w:rPr>
              <w:fldChar w:fldCharType="separate"/>
            </w:r>
            <w:r w:rsidR="00A137B0">
              <w:rPr>
                <w:noProof/>
                <w:webHidden/>
              </w:rPr>
              <w:t>12</w:t>
            </w:r>
            <w:r w:rsidR="00D573B0">
              <w:rPr>
                <w:noProof/>
                <w:webHidden/>
              </w:rPr>
              <w:fldChar w:fldCharType="end"/>
            </w:r>
          </w:hyperlink>
        </w:p>
        <w:p w14:paraId="281A947E" w14:textId="1EF25C11" w:rsidR="00D573B0" w:rsidRDefault="0068769E">
          <w:pPr>
            <w:pStyle w:val="TDC2"/>
            <w:tabs>
              <w:tab w:val="right" w:leader="dot" w:pos="10699"/>
            </w:tabs>
            <w:rPr>
              <w:rFonts w:asciiTheme="minorHAnsi" w:eastAsiaTheme="minorEastAsia" w:hAnsiTheme="minorHAnsi" w:cstheme="minorBidi"/>
              <w:noProof/>
              <w:lang w:eastAsia="es-MX"/>
            </w:rPr>
          </w:pPr>
          <w:hyperlink w:anchor="_Toc137545535" w:history="1">
            <w:r w:rsidR="00D573B0" w:rsidRPr="00871088">
              <w:rPr>
                <w:rStyle w:val="Hipervnculo"/>
                <w:rFonts w:cstheme="minorHAnsi"/>
                <w:b/>
                <w:noProof/>
              </w:rPr>
              <w:t>15. Partes Relacionadas:</w:t>
            </w:r>
            <w:r w:rsidR="00D573B0">
              <w:rPr>
                <w:noProof/>
                <w:webHidden/>
              </w:rPr>
              <w:tab/>
            </w:r>
            <w:r w:rsidR="00D573B0">
              <w:rPr>
                <w:noProof/>
                <w:webHidden/>
              </w:rPr>
              <w:fldChar w:fldCharType="begin"/>
            </w:r>
            <w:r w:rsidR="00D573B0">
              <w:rPr>
                <w:noProof/>
                <w:webHidden/>
              </w:rPr>
              <w:instrText xml:space="preserve"> PAGEREF _Toc137545535 \h </w:instrText>
            </w:r>
            <w:r w:rsidR="00D573B0">
              <w:rPr>
                <w:noProof/>
                <w:webHidden/>
              </w:rPr>
            </w:r>
            <w:r w:rsidR="00D573B0">
              <w:rPr>
                <w:noProof/>
                <w:webHidden/>
              </w:rPr>
              <w:fldChar w:fldCharType="separate"/>
            </w:r>
            <w:r w:rsidR="00A137B0">
              <w:rPr>
                <w:noProof/>
                <w:webHidden/>
              </w:rPr>
              <w:t>12</w:t>
            </w:r>
            <w:r w:rsidR="00D573B0">
              <w:rPr>
                <w:noProof/>
                <w:webHidden/>
              </w:rPr>
              <w:fldChar w:fldCharType="end"/>
            </w:r>
          </w:hyperlink>
        </w:p>
        <w:p w14:paraId="1EBF5B20" w14:textId="1328A15C" w:rsidR="00D573B0" w:rsidRDefault="0068769E">
          <w:pPr>
            <w:pStyle w:val="TDC2"/>
            <w:tabs>
              <w:tab w:val="right" w:leader="dot" w:pos="10699"/>
            </w:tabs>
            <w:rPr>
              <w:rFonts w:asciiTheme="minorHAnsi" w:eastAsiaTheme="minorEastAsia" w:hAnsiTheme="minorHAnsi" w:cstheme="minorBidi"/>
              <w:noProof/>
              <w:lang w:eastAsia="es-MX"/>
            </w:rPr>
          </w:pPr>
          <w:hyperlink w:anchor="_Toc137545536" w:history="1">
            <w:r w:rsidR="00D573B0" w:rsidRPr="00871088">
              <w:rPr>
                <w:rStyle w:val="Hipervnculo"/>
                <w:rFonts w:cstheme="minorHAnsi"/>
                <w:b/>
                <w:noProof/>
              </w:rPr>
              <w:t>16. Responsabilidad Sobre la Presentación Razonable de la Información Contable:</w:t>
            </w:r>
            <w:r w:rsidR="00D573B0">
              <w:rPr>
                <w:noProof/>
                <w:webHidden/>
              </w:rPr>
              <w:tab/>
            </w:r>
            <w:r w:rsidR="00D573B0">
              <w:rPr>
                <w:noProof/>
                <w:webHidden/>
              </w:rPr>
              <w:fldChar w:fldCharType="begin"/>
            </w:r>
            <w:r w:rsidR="00D573B0">
              <w:rPr>
                <w:noProof/>
                <w:webHidden/>
              </w:rPr>
              <w:instrText xml:space="preserve"> PAGEREF _Toc137545536 \h </w:instrText>
            </w:r>
            <w:r w:rsidR="00D573B0">
              <w:rPr>
                <w:noProof/>
                <w:webHidden/>
              </w:rPr>
            </w:r>
            <w:r w:rsidR="00D573B0">
              <w:rPr>
                <w:noProof/>
                <w:webHidden/>
              </w:rPr>
              <w:fldChar w:fldCharType="separate"/>
            </w:r>
            <w:r w:rsidR="00A137B0">
              <w:rPr>
                <w:noProof/>
                <w:webHidden/>
              </w:rPr>
              <w:t>12</w:t>
            </w:r>
            <w:r w:rsidR="00D573B0">
              <w:rPr>
                <w:noProof/>
                <w:webHidden/>
              </w:rPr>
              <w:fldChar w:fldCharType="end"/>
            </w:r>
          </w:hyperlink>
        </w:p>
        <w:p w14:paraId="1C772926" w14:textId="37B301F1" w:rsidR="00F46719" w:rsidRDefault="00F46719" w:rsidP="005274F7">
          <w:r>
            <w:rPr>
              <w:b/>
              <w:bCs/>
              <w:lang w:val="es-ES"/>
            </w:rPr>
            <w:fldChar w:fldCharType="end"/>
          </w:r>
        </w:p>
      </w:sdtContent>
    </w:sdt>
    <w:p w14:paraId="227258AB" w14:textId="77777777" w:rsidR="00F46719" w:rsidRPr="00E74967" w:rsidRDefault="00F46719" w:rsidP="005274F7">
      <w:pPr>
        <w:tabs>
          <w:tab w:val="left" w:leader="underscore" w:pos="9639"/>
        </w:tabs>
        <w:spacing w:after="0"/>
        <w:jc w:val="both"/>
        <w:rPr>
          <w:rFonts w:cs="Calibri"/>
        </w:rPr>
      </w:pPr>
    </w:p>
    <w:p w14:paraId="17C06500" w14:textId="77777777" w:rsidR="007D1E76" w:rsidRPr="00E74967" w:rsidRDefault="007D1E76" w:rsidP="005274F7">
      <w:pPr>
        <w:tabs>
          <w:tab w:val="left" w:leader="underscore" w:pos="9639"/>
        </w:tabs>
        <w:spacing w:after="0"/>
        <w:jc w:val="both"/>
        <w:rPr>
          <w:rFonts w:cs="Calibri"/>
        </w:rPr>
      </w:pPr>
    </w:p>
    <w:p w14:paraId="4AEF7269" w14:textId="08A3FDC3" w:rsidR="007D1E76" w:rsidRPr="000C3365" w:rsidRDefault="00D3392D" w:rsidP="005274F7">
      <w:pPr>
        <w:pStyle w:val="Ttulo2"/>
        <w:rPr>
          <w:rFonts w:asciiTheme="minorHAnsi" w:hAnsiTheme="minorHAnsi" w:cstheme="minorHAnsi"/>
          <w:b/>
          <w:color w:val="auto"/>
          <w:sz w:val="22"/>
        </w:rPr>
      </w:pPr>
      <w:bookmarkStart w:id="0" w:name="_Toc137545520"/>
      <w:r w:rsidRPr="000C3365">
        <w:rPr>
          <w:rFonts w:asciiTheme="minorHAnsi" w:hAnsiTheme="minorHAnsi" w:cstheme="minorHAnsi"/>
          <w:b/>
          <w:color w:val="auto"/>
          <w:sz w:val="22"/>
        </w:rPr>
        <w:t>INTRODUCCIÓN</w:t>
      </w:r>
      <w:r w:rsidR="007D1E76" w:rsidRPr="000C3365">
        <w:rPr>
          <w:rFonts w:asciiTheme="minorHAnsi" w:hAnsiTheme="minorHAnsi" w:cstheme="minorHAnsi"/>
          <w:b/>
          <w:color w:val="auto"/>
          <w:sz w:val="22"/>
        </w:rPr>
        <w:t>:</w:t>
      </w:r>
      <w:bookmarkEnd w:id="0"/>
    </w:p>
    <w:p w14:paraId="5F0515F0" w14:textId="77777777" w:rsidR="007D1E76" w:rsidRPr="00E74967" w:rsidRDefault="007D1E76" w:rsidP="005274F7">
      <w:pPr>
        <w:tabs>
          <w:tab w:val="left" w:leader="underscore" w:pos="9639"/>
        </w:tabs>
        <w:spacing w:after="0"/>
        <w:jc w:val="both"/>
        <w:rPr>
          <w:rFonts w:cs="Calibri"/>
        </w:rPr>
      </w:pPr>
      <w:r w:rsidRPr="00E74967">
        <w:rPr>
          <w:rFonts w:cs="Calibri"/>
        </w:rPr>
        <w:t>Breve descripción de las actividades principales de la entidad.</w:t>
      </w:r>
    </w:p>
    <w:p w14:paraId="61277253" w14:textId="77777777" w:rsidR="0041311D" w:rsidRDefault="0041311D" w:rsidP="005274F7">
      <w:pPr>
        <w:tabs>
          <w:tab w:val="left" w:leader="underscore" w:pos="9639"/>
        </w:tabs>
        <w:spacing w:after="0"/>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4159C7B3" w14:textId="4258EA0C" w:rsidR="007D1E76" w:rsidRDefault="007D1E76" w:rsidP="005274F7">
      <w:pPr>
        <w:tabs>
          <w:tab w:val="left" w:leader="underscore" w:pos="9639"/>
        </w:tabs>
        <w:spacing w:after="0"/>
        <w:jc w:val="both"/>
        <w:rPr>
          <w:rFonts w:cs="Calibri"/>
        </w:rPr>
      </w:pPr>
    </w:p>
    <w:p w14:paraId="055360FE" w14:textId="6FB3E54A" w:rsidR="00D3392D" w:rsidRPr="000C3365" w:rsidRDefault="00D3392D" w:rsidP="00D3392D">
      <w:pPr>
        <w:pStyle w:val="Ttulo2"/>
        <w:rPr>
          <w:rFonts w:asciiTheme="minorHAnsi" w:hAnsiTheme="minorHAnsi" w:cstheme="minorHAnsi"/>
          <w:b/>
          <w:color w:val="auto"/>
          <w:sz w:val="22"/>
        </w:rPr>
      </w:pPr>
      <w:bookmarkStart w:id="1" w:name="_Toc137545521"/>
      <w:r>
        <w:rPr>
          <w:rFonts w:asciiTheme="minorHAnsi" w:hAnsiTheme="minorHAnsi" w:cstheme="minorHAnsi"/>
          <w:b/>
          <w:color w:val="auto"/>
          <w:sz w:val="22"/>
        </w:rPr>
        <w:t>1</w:t>
      </w:r>
      <w:r w:rsidRPr="000C3365">
        <w:rPr>
          <w:rFonts w:asciiTheme="minorHAnsi" w:hAnsiTheme="minorHAnsi" w:cstheme="minorHAnsi"/>
          <w:b/>
          <w:color w:val="auto"/>
          <w:sz w:val="22"/>
        </w:rPr>
        <w:t>. Autorización e Historia:</w:t>
      </w:r>
      <w:bookmarkEnd w:id="1"/>
    </w:p>
    <w:p w14:paraId="6ABCA180" w14:textId="77777777" w:rsidR="00D3392D" w:rsidRPr="00E74967" w:rsidRDefault="00D3392D" w:rsidP="00D3392D">
      <w:pPr>
        <w:tabs>
          <w:tab w:val="left" w:leader="underscore" w:pos="9639"/>
        </w:tabs>
        <w:spacing w:after="0"/>
        <w:jc w:val="both"/>
        <w:rPr>
          <w:rFonts w:cs="Calibri"/>
        </w:rPr>
      </w:pPr>
    </w:p>
    <w:p w14:paraId="618C924D" w14:textId="77777777" w:rsidR="00D3392D" w:rsidRPr="00E74967" w:rsidRDefault="00D3392D" w:rsidP="00D3392D">
      <w:pPr>
        <w:tabs>
          <w:tab w:val="left" w:leader="underscore" w:pos="9639"/>
        </w:tabs>
        <w:spacing w:after="0"/>
        <w:jc w:val="both"/>
        <w:rPr>
          <w:rFonts w:cs="Calibri"/>
        </w:rPr>
      </w:pPr>
      <w:r w:rsidRPr="00E74967">
        <w:rPr>
          <w:rFonts w:cs="Calibri"/>
        </w:rPr>
        <w:t>Se informará sobre:</w:t>
      </w:r>
    </w:p>
    <w:p w14:paraId="68D575E7" w14:textId="77777777" w:rsidR="00D3392D" w:rsidRPr="00E74967" w:rsidRDefault="00D3392D" w:rsidP="00D3392D">
      <w:pPr>
        <w:tabs>
          <w:tab w:val="left" w:leader="underscore" w:pos="9639"/>
        </w:tabs>
        <w:spacing w:after="0"/>
        <w:jc w:val="both"/>
        <w:rPr>
          <w:rFonts w:cs="Calibri"/>
        </w:rPr>
      </w:pPr>
    </w:p>
    <w:p w14:paraId="60190844" w14:textId="0305D548" w:rsidR="00D3392D" w:rsidRPr="00E74967" w:rsidRDefault="00D3392D" w:rsidP="00D3392D">
      <w:pPr>
        <w:tabs>
          <w:tab w:val="left" w:leader="underscore" w:pos="9639"/>
        </w:tabs>
        <w:spacing w:after="0"/>
        <w:jc w:val="both"/>
        <w:rPr>
          <w:rFonts w:cs="Calibri"/>
        </w:rPr>
      </w:pPr>
      <w:r w:rsidRPr="00E74967">
        <w:rPr>
          <w:rFonts w:cs="Calibri"/>
          <w:b/>
        </w:rPr>
        <w:t>a)</w:t>
      </w:r>
      <w:r w:rsidRPr="00E74967">
        <w:rPr>
          <w:rFonts w:cs="Calibri"/>
        </w:rPr>
        <w:t xml:space="preserve"> Fecha de creación del ente</w:t>
      </w:r>
      <w:r>
        <w:rPr>
          <w:rFonts w:cs="Calibri"/>
        </w:rPr>
        <w:t xml:space="preserve"> público</w:t>
      </w:r>
      <w:r w:rsidRPr="00E74967">
        <w:rPr>
          <w:rFonts w:cs="Calibri"/>
        </w:rPr>
        <w:t>.</w:t>
      </w:r>
    </w:p>
    <w:p w14:paraId="3B5F0161" w14:textId="77777777" w:rsidR="00D3392D" w:rsidRDefault="00D3392D" w:rsidP="00D3392D">
      <w:pPr>
        <w:jc w:val="both"/>
        <w:rPr>
          <w:rFonts w:ascii="Arial" w:hAnsi="Arial" w:cs="Arial"/>
          <w:sz w:val="24"/>
          <w:szCs w:val="24"/>
          <w:u w:val="single"/>
        </w:rPr>
      </w:pPr>
    </w:p>
    <w:p w14:paraId="46C4B690" w14:textId="77777777" w:rsidR="00D3392D" w:rsidRPr="00FC3E53" w:rsidRDefault="00D3392D" w:rsidP="00D3392D">
      <w:pPr>
        <w:jc w:val="both"/>
        <w:rPr>
          <w:rFonts w:ascii="Arial" w:hAnsi="Arial" w:cs="Arial"/>
          <w:sz w:val="24"/>
          <w:szCs w:val="24"/>
          <w:u w:val="single"/>
        </w:rPr>
      </w:pPr>
      <w:r w:rsidRPr="00FC3E53">
        <w:rPr>
          <w:rFonts w:ascii="Arial" w:hAnsi="Arial" w:cs="Arial"/>
          <w:sz w:val="24"/>
          <w:szCs w:val="24"/>
          <w:u w:val="single"/>
        </w:rPr>
        <w:t>20 de Octubre del 1998</w:t>
      </w:r>
    </w:p>
    <w:p w14:paraId="039C815E" w14:textId="77777777" w:rsidR="00D3392D" w:rsidRPr="00E74967" w:rsidRDefault="00D3392D" w:rsidP="00D3392D">
      <w:pPr>
        <w:tabs>
          <w:tab w:val="left" w:leader="underscore" w:pos="9639"/>
        </w:tabs>
        <w:spacing w:after="0"/>
        <w:jc w:val="both"/>
        <w:rPr>
          <w:rFonts w:cs="Calibri"/>
        </w:rPr>
      </w:pPr>
    </w:p>
    <w:p w14:paraId="261B9877" w14:textId="549C05C8" w:rsidR="00D3392D" w:rsidRDefault="00D3392D" w:rsidP="00D3392D">
      <w:pPr>
        <w:tabs>
          <w:tab w:val="left" w:leader="underscore" w:pos="9639"/>
        </w:tabs>
        <w:spacing w:after="0"/>
        <w:jc w:val="both"/>
        <w:rPr>
          <w:rFonts w:cs="Calibri"/>
        </w:rPr>
      </w:pPr>
      <w:r w:rsidRPr="00E74967">
        <w:rPr>
          <w:rFonts w:cs="Calibri"/>
          <w:b/>
        </w:rPr>
        <w:t>b)</w:t>
      </w:r>
      <w:r w:rsidRPr="00E74967">
        <w:rPr>
          <w:rFonts w:cs="Calibri"/>
        </w:rPr>
        <w:t xml:space="preserve"> Principales cambios en su estructura (interna históricamente).</w:t>
      </w:r>
    </w:p>
    <w:p w14:paraId="0096A8AB" w14:textId="77777777" w:rsidR="00D3392D" w:rsidRPr="00E74967" w:rsidRDefault="00D3392D" w:rsidP="00D3392D">
      <w:pPr>
        <w:tabs>
          <w:tab w:val="left" w:leader="underscore" w:pos="9639"/>
        </w:tabs>
        <w:spacing w:after="0"/>
        <w:jc w:val="both"/>
        <w:rPr>
          <w:rFonts w:cs="Calibri"/>
        </w:rPr>
      </w:pPr>
    </w:p>
    <w:p w14:paraId="0BB4D23E" w14:textId="77777777" w:rsidR="00D3392D" w:rsidRPr="00E74967" w:rsidRDefault="00D3392D" w:rsidP="00D3392D">
      <w:pPr>
        <w:tabs>
          <w:tab w:val="left" w:leader="underscore" w:pos="9639"/>
        </w:tabs>
        <w:spacing w:after="0"/>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cabe mencionar que el pasado 19 de septiembre del 2018 los miembros del anterior patronato presentaron su renuncia. El día 01 de septiembre del 2020 se integró el nuevo patronato, ratificándose en la quincuagésima sesión de ayuntamiento el día 29 de septiembre del 2020, quedando como presidente la Lic. Rebeca Reyes Carmona, secretaria Milton Mercado y Tesorera Lic. María Verónica Soto Parra, los cuales a la fecha del presente documento siguen siendo los representantes del Patronato de la Feria.</w:t>
      </w:r>
    </w:p>
    <w:p w14:paraId="6817AE91" w14:textId="77777777" w:rsidR="00D3392D" w:rsidRDefault="00D3392D" w:rsidP="005274F7">
      <w:pPr>
        <w:tabs>
          <w:tab w:val="left" w:leader="underscore" w:pos="9639"/>
        </w:tabs>
        <w:spacing w:after="0"/>
        <w:jc w:val="both"/>
        <w:rPr>
          <w:rFonts w:cs="Calibri"/>
        </w:rPr>
      </w:pPr>
    </w:p>
    <w:p w14:paraId="2C4EE6EF" w14:textId="77777777" w:rsidR="0054701E" w:rsidRPr="00E74967" w:rsidRDefault="0054701E" w:rsidP="005274F7">
      <w:pPr>
        <w:tabs>
          <w:tab w:val="left" w:leader="underscore" w:pos="9639"/>
        </w:tabs>
        <w:spacing w:after="0"/>
        <w:jc w:val="both"/>
        <w:rPr>
          <w:rFonts w:cs="Calibri"/>
        </w:rPr>
      </w:pPr>
    </w:p>
    <w:p w14:paraId="69FE2E8C" w14:textId="1A79E9E9" w:rsidR="007D1E76" w:rsidRPr="000C3365" w:rsidRDefault="007D1E76" w:rsidP="005274F7">
      <w:pPr>
        <w:pStyle w:val="Ttulo2"/>
        <w:rPr>
          <w:rFonts w:asciiTheme="minorHAnsi" w:hAnsiTheme="minorHAnsi" w:cstheme="minorHAnsi"/>
          <w:b/>
          <w:color w:val="auto"/>
          <w:sz w:val="22"/>
        </w:rPr>
      </w:pPr>
      <w:bookmarkStart w:id="2" w:name="_Toc137545522"/>
      <w:r w:rsidRPr="000C3365">
        <w:rPr>
          <w:rFonts w:asciiTheme="minorHAnsi" w:hAnsiTheme="minorHAnsi" w:cstheme="minorHAnsi"/>
          <w:b/>
          <w:color w:val="auto"/>
          <w:sz w:val="22"/>
        </w:rPr>
        <w:t xml:space="preserve">2. </w:t>
      </w:r>
      <w:r w:rsidR="00D3392D">
        <w:rPr>
          <w:rFonts w:asciiTheme="minorHAnsi" w:hAnsiTheme="minorHAnsi" w:cstheme="minorHAnsi"/>
          <w:b/>
          <w:color w:val="auto"/>
          <w:sz w:val="22"/>
        </w:rPr>
        <w:t>P</w:t>
      </w:r>
      <w:r w:rsidRPr="000C3365">
        <w:rPr>
          <w:rFonts w:asciiTheme="minorHAnsi" w:hAnsiTheme="minorHAnsi" w:cstheme="minorHAnsi"/>
          <w:b/>
          <w:color w:val="auto"/>
          <w:sz w:val="22"/>
        </w:rPr>
        <w:t>an</w:t>
      </w:r>
      <w:r w:rsidR="00E00323" w:rsidRPr="000C3365">
        <w:rPr>
          <w:rFonts w:asciiTheme="minorHAnsi" w:hAnsiTheme="minorHAnsi" w:cstheme="minorHAnsi"/>
          <w:b/>
          <w:color w:val="auto"/>
          <w:sz w:val="22"/>
        </w:rPr>
        <w:t>orama Económico y Financiero:</w:t>
      </w:r>
      <w:bookmarkEnd w:id="2"/>
    </w:p>
    <w:p w14:paraId="4CADBF8C" w14:textId="77777777" w:rsidR="00D3392D" w:rsidRDefault="00D3392D" w:rsidP="005274F7">
      <w:pPr>
        <w:tabs>
          <w:tab w:val="left" w:leader="underscore" w:pos="9639"/>
        </w:tabs>
        <w:spacing w:after="0"/>
        <w:jc w:val="both"/>
        <w:rPr>
          <w:rFonts w:cs="Calibri"/>
        </w:rPr>
      </w:pPr>
    </w:p>
    <w:p w14:paraId="574C94E3" w14:textId="4E3E7224" w:rsidR="007D1E76" w:rsidRPr="00E74967" w:rsidRDefault="007D1E76" w:rsidP="005274F7">
      <w:pPr>
        <w:tabs>
          <w:tab w:val="left" w:leader="underscore" w:pos="9639"/>
        </w:tabs>
        <w:spacing w:after="0"/>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FF8B51D" w14:textId="3AE66091" w:rsidR="0041311D" w:rsidRDefault="0041311D"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lastRenderedPageBreak/>
        <w:t>El Patronato de la Feria Regional Puerta de Oro del Bajío del Municipio de C</w:t>
      </w:r>
      <w:r w:rsidR="00E67152">
        <w:rPr>
          <w:rFonts w:ascii="Arial" w:hAnsi="Arial" w:cs="Arial"/>
          <w:sz w:val="24"/>
          <w:szCs w:val="24"/>
          <w:u w:val="single"/>
        </w:rPr>
        <w:t>elaya, el panorama luce complejo, ya que se tiene un subsidio municipal de $ 3,514,524.00 (Tres millones quinientos catorce mil quinientos veinticuatro pesos 00/100 M.N.), los cuales serán destinados a enaltecer el inmueble ocupado por el Patronato, con la finalidad de que la ciudadanía tenga el acceso y las comodidades para efectuar eventos en las instalaciones conocidas como “ECOFORUM”.</w:t>
      </w:r>
    </w:p>
    <w:p w14:paraId="33135F89" w14:textId="2F89E189" w:rsidR="00E67152" w:rsidRDefault="00E67152" w:rsidP="005274F7">
      <w:pPr>
        <w:tabs>
          <w:tab w:val="left" w:leader="underscore" w:pos="9639"/>
        </w:tabs>
        <w:spacing w:after="0"/>
        <w:jc w:val="both"/>
        <w:rPr>
          <w:rFonts w:ascii="Arial" w:hAnsi="Arial" w:cs="Arial"/>
          <w:sz w:val="24"/>
          <w:szCs w:val="24"/>
          <w:u w:val="single"/>
        </w:rPr>
      </w:pPr>
    </w:p>
    <w:p w14:paraId="579E213B" w14:textId="139242E1" w:rsidR="00E67152" w:rsidRPr="00E74967" w:rsidRDefault="00E67152" w:rsidP="005274F7">
      <w:pPr>
        <w:tabs>
          <w:tab w:val="left" w:leader="underscore" w:pos="9639"/>
        </w:tabs>
        <w:spacing w:after="0"/>
        <w:jc w:val="both"/>
        <w:rPr>
          <w:rFonts w:cs="Calibri"/>
        </w:rPr>
      </w:pPr>
      <w:r>
        <w:rPr>
          <w:rFonts w:ascii="Arial" w:hAnsi="Arial" w:cs="Arial"/>
          <w:sz w:val="24"/>
          <w:szCs w:val="24"/>
          <w:u w:val="single"/>
        </w:rPr>
        <w:t>El patronato con la intención de fortalecer su sistema operativo financiero, llevará a cabo acciones de gestión con entidades públicas e instituciones privadas a nivel local y estatal, estimando una recaudación para el presente año de $ 250,000.00 (Doscientos cincuenta mil pesos 00/100 M.N.)</w:t>
      </w:r>
    </w:p>
    <w:p w14:paraId="7348DB8B" w14:textId="77777777" w:rsidR="007D1E76" w:rsidRPr="00E74967" w:rsidRDefault="007D1E76" w:rsidP="005274F7">
      <w:pPr>
        <w:tabs>
          <w:tab w:val="left" w:leader="underscore" w:pos="9639"/>
        </w:tabs>
        <w:spacing w:after="0"/>
        <w:jc w:val="both"/>
        <w:rPr>
          <w:rFonts w:cs="Calibri"/>
        </w:rPr>
      </w:pPr>
    </w:p>
    <w:p w14:paraId="5251B658" w14:textId="77777777" w:rsidR="007D1E76" w:rsidRPr="00E74967" w:rsidRDefault="007D1E76" w:rsidP="005274F7">
      <w:pPr>
        <w:tabs>
          <w:tab w:val="left" w:leader="underscore" w:pos="9639"/>
        </w:tabs>
        <w:spacing w:after="0"/>
        <w:jc w:val="both"/>
        <w:rPr>
          <w:rFonts w:cs="Calibri"/>
        </w:rPr>
      </w:pPr>
    </w:p>
    <w:p w14:paraId="23CD4076" w14:textId="1E5823BF" w:rsidR="007D1E76" w:rsidRPr="000C3365" w:rsidRDefault="00D3392D" w:rsidP="005274F7">
      <w:pPr>
        <w:pStyle w:val="Ttulo2"/>
        <w:rPr>
          <w:rFonts w:asciiTheme="minorHAnsi" w:hAnsiTheme="minorHAnsi" w:cstheme="minorHAnsi"/>
          <w:b/>
          <w:color w:val="auto"/>
          <w:sz w:val="22"/>
        </w:rPr>
      </w:pPr>
      <w:bookmarkStart w:id="3" w:name="_Toc137545523"/>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3"/>
    </w:p>
    <w:p w14:paraId="142EB753" w14:textId="77777777" w:rsidR="007D1E76" w:rsidRPr="00E74967" w:rsidRDefault="007D1E76" w:rsidP="005274F7">
      <w:pPr>
        <w:tabs>
          <w:tab w:val="left" w:leader="underscore" w:pos="9639"/>
        </w:tabs>
        <w:spacing w:after="0"/>
        <w:jc w:val="both"/>
        <w:rPr>
          <w:rFonts w:cs="Calibri"/>
        </w:rPr>
      </w:pPr>
    </w:p>
    <w:p w14:paraId="5F3BB76E" w14:textId="77777777" w:rsidR="007D1E76" w:rsidRPr="00E74967" w:rsidRDefault="007D1E76" w:rsidP="005274F7">
      <w:pPr>
        <w:tabs>
          <w:tab w:val="left" w:leader="underscore" w:pos="9639"/>
        </w:tabs>
        <w:spacing w:after="0"/>
        <w:jc w:val="both"/>
        <w:rPr>
          <w:rFonts w:cs="Calibri"/>
        </w:rPr>
      </w:pPr>
      <w:r w:rsidRPr="00E74967">
        <w:rPr>
          <w:rFonts w:cs="Calibri"/>
        </w:rPr>
        <w:t>Se informará sobre:</w:t>
      </w:r>
    </w:p>
    <w:p w14:paraId="10F8CD5B" w14:textId="77777777" w:rsidR="007D1E76" w:rsidRPr="00E74967" w:rsidRDefault="007D1E76" w:rsidP="005274F7">
      <w:pPr>
        <w:tabs>
          <w:tab w:val="left" w:leader="underscore" w:pos="9639"/>
        </w:tabs>
        <w:spacing w:after="0"/>
        <w:jc w:val="both"/>
        <w:rPr>
          <w:rFonts w:cs="Calibri"/>
        </w:rPr>
      </w:pPr>
    </w:p>
    <w:p w14:paraId="33EAE018" w14:textId="77777777"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Objeto social.</w:t>
      </w:r>
    </w:p>
    <w:p w14:paraId="70860DC1" w14:textId="77777777" w:rsidR="00D3392D" w:rsidRDefault="00D3392D" w:rsidP="005274F7">
      <w:pPr>
        <w:tabs>
          <w:tab w:val="left" w:leader="underscore" w:pos="9639"/>
        </w:tabs>
        <w:spacing w:after="0"/>
        <w:jc w:val="both"/>
        <w:rPr>
          <w:rFonts w:ascii="Arial" w:hAnsi="Arial" w:cs="Arial"/>
          <w:sz w:val="24"/>
          <w:szCs w:val="24"/>
          <w:u w:val="single"/>
        </w:rPr>
      </w:pPr>
    </w:p>
    <w:p w14:paraId="54A3CFDC" w14:textId="756CF87F" w:rsidR="00E06A87" w:rsidRDefault="00E06A87"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 xml:space="preserve">Promover y organizar ferias y exposiciones que tiendan a fomentar la cultura, las artes, las ciencias, la preservación ecológica, las actividades recreativas, deportivas, así como el </w:t>
      </w:r>
      <w:r w:rsidR="005274F7" w:rsidRPr="00FC3E53">
        <w:rPr>
          <w:rFonts w:ascii="Arial" w:hAnsi="Arial" w:cs="Arial"/>
          <w:sz w:val="24"/>
          <w:szCs w:val="24"/>
          <w:u w:val="single"/>
        </w:rPr>
        <w:t>impulso de</w:t>
      </w:r>
      <w:r w:rsidRPr="00FC3E53">
        <w:rPr>
          <w:rFonts w:ascii="Arial" w:hAnsi="Arial" w:cs="Arial"/>
          <w:sz w:val="24"/>
          <w:szCs w:val="24"/>
          <w:u w:val="single"/>
        </w:rPr>
        <w:t xml:space="preserve"> las artesanías, costumbres y tradiciones de la ciudad y el estado.</w:t>
      </w:r>
    </w:p>
    <w:p w14:paraId="2B6A0E47" w14:textId="77777777" w:rsidR="007D1E76" w:rsidRPr="00E74967" w:rsidRDefault="007D1E76" w:rsidP="005274F7">
      <w:pPr>
        <w:tabs>
          <w:tab w:val="left" w:leader="underscore" w:pos="9639"/>
        </w:tabs>
        <w:spacing w:after="0"/>
        <w:jc w:val="both"/>
        <w:rPr>
          <w:rFonts w:cs="Calibri"/>
        </w:rPr>
      </w:pPr>
    </w:p>
    <w:p w14:paraId="1EB28E17"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Principal actividad.</w:t>
      </w:r>
    </w:p>
    <w:p w14:paraId="4C5458FB" w14:textId="77777777" w:rsidR="00D3392D" w:rsidRDefault="00D3392D" w:rsidP="005274F7">
      <w:pPr>
        <w:tabs>
          <w:tab w:val="left" w:leader="underscore" w:pos="9639"/>
        </w:tabs>
        <w:spacing w:after="0"/>
        <w:jc w:val="both"/>
        <w:rPr>
          <w:rFonts w:ascii="Arial" w:hAnsi="Arial" w:cs="Arial"/>
          <w:sz w:val="24"/>
          <w:szCs w:val="24"/>
          <w:u w:val="single"/>
        </w:rPr>
      </w:pPr>
    </w:p>
    <w:p w14:paraId="4301C918" w14:textId="591D18FC" w:rsidR="00CB41C4" w:rsidRDefault="00E06A87"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 xml:space="preserve">Tiene como principal actividad la organización y </w:t>
      </w:r>
      <w:r w:rsidR="005274F7">
        <w:rPr>
          <w:rFonts w:ascii="Arial" w:hAnsi="Arial" w:cs="Arial"/>
          <w:sz w:val="24"/>
          <w:szCs w:val="24"/>
          <w:u w:val="single"/>
        </w:rPr>
        <w:t>promoción de la Fiestas Decembrinas</w:t>
      </w:r>
    </w:p>
    <w:p w14:paraId="368C7529" w14:textId="77777777" w:rsidR="00E06A87" w:rsidRPr="00E74967" w:rsidRDefault="00E06A87" w:rsidP="005274F7">
      <w:pPr>
        <w:tabs>
          <w:tab w:val="left" w:leader="underscore" w:pos="9639"/>
        </w:tabs>
        <w:spacing w:after="0"/>
        <w:jc w:val="both"/>
        <w:rPr>
          <w:rFonts w:cs="Calibri"/>
        </w:rPr>
      </w:pPr>
    </w:p>
    <w:p w14:paraId="45777EC2" w14:textId="15AE94FE" w:rsidR="007D1E76" w:rsidRPr="00E74967" w:rsidRDefault="007D1E76" w:rsidP="005274F7">
      <w:pPr>
        <w:tabs>
          <w:tab w:val="left" w:leader="underscore" w:pos="9639"/>
        </w:tabs>
        <w:spacing w:after="0"/>
        <w:jc w:val="both"/>
        <w:rPr>
          <w:rFonts w:cs="Calibri"/>
        </w:rPr>
      </w:pPr>
      <w:r w:rsidRPr="00E74967">
        <w:rPr>
          <w:rFonts w:cs="Calibri"/>
          <w:b/>
        </w:rPr>
        <w:t>c)</w:t>
      </w:r>
      <w:r w:rsidRPr="00E74967">
        <w:rPr>
          <w:rFonts w:cs="Calibri"/>
        </w:rPr>
        <w:t xml:space="preserve"> Ejercicio fiscal.</w:t>
      </w:r>
    </w:p>
    <w:p w14:paraId="1446C2A7" w14:textId="77777777" w:rsidR="00E06A87" w:rsidRDefault="00E06A87" w:rsidP="005274F7">
      <w:pPr>
        <w:tabs>
          <w:tab w:val="left" w:leader="underscore" w:pos="9639"/>
        </w:tabs>
        <w:spacing w:after="0"/>
        <w:jc w:val="both"/>
        <w:rPr>
          <w:rFonts w:cs="Calibri"/>
          <w:u w:val="single"/>
        </w:rPr>
      </w:pPr>
    </w:p>
    <w:p w14:paraId="79A642E7" w14:textId="15532440" w:rsidR="007D1E76" w:rsidRPr="005274F7" w:rsidRDefault="00E06A87"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 xml:space="preserve">Del 01 </w:t>
      </w:r>
      <w:r w:rsidR="00724D14" w:rsidRPr="005274F7">
        <w:rPr>
          <w:rFonts w:ascii="Arial" w:hAnsi="Arial" w:cs="Arial"/>
          <w:sz w:val="24"/>
          <w:szCs w:val="24"/>
          <w:u w:val="single"/>
        </w:rPr>
        <w:t>de Enero al 3</w:t>
      </w:r>
      <w:r w:rsidR="005274F7" w:rsidRPr="005274F7">
        <w:rPr>
          <w:rFonts w:ascii="Arial" w:hAnsi="Arial" w:cs="Arial"/>
          <w:sz w:val="24"/>
          <w:szCs w:val="24"/>
          <w:u w:val="single"/>
        </w:rPr>
        <w:t>1 de Marzo</w:t>
      </w:r>
      <w:r w:rsidR="00724D14" w:rsidRPr="005274F7">
        <w:rPr>
          <w:rFonts w:ascii="Arial" w:hAnsi="Arial" w:cs="Arial"/>
          <w:sz w:val="24"/>
          <w:szCs w:val="24"/>
          <w:u w:val="single"/>
        </w:rPr>
        <w:t xml:space="preserve"> 202</w:t>
      </w:r>
      <w:r w:rsidR="005274F7" w:rsidRPr="005274F7">
        <w:rPr>
          <w:rFonts w:ascii="Arial" w:hAnsi="Arial" w:cs="Arial"/>
          <w:sz w:val="24"/>
          <w:szCs w:val="24"/>
          <w:u w:val="single"/>
        </w:rPr>
        <w:t>3</w:t>
      </w:r>
    </w:p>
    <w:p w14:paraId="7A6187A2" w14:textId="77777777" w:rsidR="00E06A87" w:rsidRPr="00E74967" w:rsidRDefault="00E06A87" w:rsidP="005274F7">
      <w:pPr>
        <w:tabs>
          <w:tab w:val="left" w:leader="underscore" w:pos="9639"/>
        </w:tabs>
        <w:spacing w:after="0"/>
        <w:jc w:val="both"/>
        <w:rPr>
          <w:rFonts w:cs="Calibri"/>
        </w:rPr>
      </w:pPr>
    </w:p>
    <w:p w14:paraId="0A9D4B77" w14:textId="0802B273" w:rsidR="007D1E76" w:rsidRDefault="007D1E76" w:rsidP="005274F7">
      <w:pPr>
        <w:tabs>
          <w:tab w:val="left" w:leader="underscore" w:pos="9639"/>
        </w:tabs>
        <w:spacing w:after="0"/>
        <w:jc w:val="both"/>
        <w:rPr>
          <w:rFonts w:cs="Calibri"/>
        </w:rPr>
      </w:pPr>
      <w:r w:rsidRPr="00E74967">
        <w:rPr>
          <w:rFonts w:cs="Calibri"/>
          <w:b/>
        </w:rPr>
        <w:t>d)</w:t>
      </w:r>
      <w:r w:rsidRPr="00E74967">
        <w:rPr>
          <w:rFonts w:cs="Calibri"/>
        </w:rPr>
        <w:t xml:space="preserve"> Régimen jurídico.</w:t>
      </w:r>
    </w:p>
    <w:p w14:paraId="50BCCE56" w14:textId="77777777" w:rsidR="005274F7" w:rsidRPr="00E74967" w:rsidRDefault="005274F7" w:rsidP="005274F7">
      <w:pPr>
        <w:tabs>
          <w:tab w:val="left" w:leader="underscore" w:pos="9639"/>
        </w:tabs>
        <w:spacing w:after="0"/>
        <w:jc w:val="both"/>
        <w:rPr>
          <w:rFonts w:cs="Calibri"/>
        </w:rPr>
      </w:pPr>
    </w:p>
    <w:p w14:paraId="4F64C036" w14:textId="7DD1AF01" w:rsidR="00E06A87" w:rsidRPr="005274F7" w:rsidRDefault="00D3392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Persona Moral Sin Fines de L</w:t>
      </w:r>
      <w:r w:rsidR="00E06A87" w:rsidRPr="005274F7">
        <w:rPr>
          <w:rFonts w:ascii="Arial" w:hAnsi="Arial" w:cs="Arial"/>
          <w:sz w:val="24"/>
          <w:szCs w:val="24"/>
          <w:u w:val="single"/>
        </w:rPr>
        <w:t>ucro</w:t>
      </w:r>
    </w:p>
    <w:p w14:paraId="672EC95B" w14:textId="77777777" w:rsidR="007D1E76" w:rsidRPr="00E74967" w:rsidRDefault="007D1E76" w:rsidP="005274F7">
      <w:pPr>
        <w:tabs>
          <w:tab w:val="left" w:leader="underscore" w:pos="9639"/>
        </w:tabs>
        <w:spacing w:after="0"/>
        <w:jc w:val="both"/>
        <w:rPr>
          <w:rFonts w:cs="Calibri"/>
        </w:rPr>
      </w:pPr>
    </w:p>
    <w:p w14:paraId="08EF9DED" w14:textId="77777777" w:rsidR="007D1E76" w:rsidRPr="00E74967" w:rsidRDefault="007D1E76" w:rsidP="005274F7">
      <w:pPr>
        <w:tabs>
          <w:tab w:val="left" w:leader="underscore" w:pos="9639"/>
        </w:tabs>
        <w:spacing w:after="0"/>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FBBA9DF" w14:textId="77777777" w:rsidR="005274F7" w:rsidRDefault="005274F7" w:rsidP="005274F7">
      <w:pPr>
        <w:tabs>
          <w:tab w:val="left" w:leader="underscore" w:pos="9639"/>
        </w:tabs>
        <w:spacing w:after="0"/>
        <w:jc w:val="both"/>
        <w:rPr>
          <w:rFonts w:ascii="Arial" w:hAnsi="Arial" w:cs="Arial"/>
          <w:sz w:val="24"/>
          <w:szCs w:val="24"/>
          <w:u w:val="single"/>
        </w:rPr>
      </w:pPr>
    </w:p>
    <w:p w14:paraId="6B8A35DB" w14:textId="5C54793B" w:rsidR="00E06A87" w:rsidRDefault="00E06A87"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30410B92" w14:textId="77777777" w:rsidR="007D1E76" w:rsidRDefault="007D1E76" w:rsidP="005274F7">
      <w:pPr>
        <w:tabs>
          <w:tab w:val="left" w:leader="underscore" w:pos="9639"/>
        </w:tabs>
        <w:spacing w:after="0"/>
        <w:jc w:val="both"/>
        <w:rPr>
          <w:rFonts w:cs="Calibri"/>
        </w:rPr>
      </w:pPr>
    </w:p>
    <w:p w14:paraId="4A65A100" w14:textId="77777777" w:rsidR="00036623" w:rsidRDefault="00036623" w:rsidP="005274F7">
      <w:pPr>
        <w:tabs>
          <w:tab w:val="left" w:leader="underscore" w:pos="9639"/>
        </w:tabs>
        <w:spacing w:after="0"/>
        <w:jc w:val="both"/>
        <w:rPr>
          <w:rFonts w:cs="Calibri"/>
        </w:rPr>
      </w:pPr>
    </w:p>
    <w:p w14:paraId="37DE6959" w14:textId="77777777" w:rsidR="00036623" w:rsidRDefault="00036623" w:rsidP="005274F7">
      <w:pPr>
        <w:tabs>
          <w:tab w:val="left" w:leader="underscore" w:pos="9639"/>
        </w:tabs>
        <w:spacing w:after="0"/>
        <w:jc w:val="both"/>
        <w:rPr>
          <w:rFonts w:cs="Calibri"/>
        </w:rPr>
      </w:pPr>
    </w:p>
    <w:p w14:paraId="6A7C47D5" w14:textId="77777777" w:rsidR="00036623" w:rsidRDefault="00036623" w:rsidP="005274F7">
      <w:pPr>
        <w:tabs>
          <w:tab w:val="left" w:leader="underscore" w:pos="9639"/>
        </w:tabs>
        <w:spacing w:after="0"/>
        <w:jc w:val="both"/>
        <w:rPr>
          <w:rFonts w:cs="Calibri"/>
        </w:rPr>
      </w:pPr>
    </w:p>
    <w:p w14:paraId="466AFFC6" w14:textId="77777777" w:rsidR="00036623" w:rsidRDefault="00036623" w:rsidP="005274F7">
      <w:pPr>
        <w:tabs>
          <w:tab w:val="left" w:leader="underscore" w:pos="9639"/>
        </w:tabs>
        <w:spacing w:after="0"/>
        <w:jc w:val="both"/>
        <w:rPr>
          <w:rFonts w:cs="Calibri"/>
        </w:rPr>
      </w:pPr>
    </w:p>
    <w:p w14:paraId="300F3073" w14:textId="7F6C2856" w:rsidR="0087373A" w:rsidRDefault="005274F7" w:rsidP="005274F7">
      <w:r w:rsidRPr="00B67293">
        <w:rPr>
          <w:noProof/>
          <w:lang w:eastAsia="es-MX"/>
        </w:rPr>
        <w:drawing>
          <wp:anchor distT="0" distB="0" distL="114300" distR="114300" simplePos="0" relativeHeight="251715584" behindDoc="0" locked="0" layoutInCell="1" allowOverlap="1" wp14:anchorId="0C573EC3" wp14:editId="0CBA6972">
            <wp:simplePos x="0" y="0"/>
            <wp:positionH relativeFrom="page">
              <wp:align>center</wp:align>
            </wp:positionH>
            <wp:positionV relativeFrom="paragraph">
              <wp:posOffset>299085</wp:posOffset>
            </wp:positionV>
            <wp:extent cx="7541764" cy="4232253"/>
            <wp:effectExtent l="0" t="0" r="2540" b="0"/>
            <wp:wrapSquare wrapText="bothSides"/>
            <wp:docPr id="667" name="Imagen 667" descr="C:\Users\Tesoreria\Desktop\ASESORIA\FERIA\HANNA\Organigrama autor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oreria\Desktop\ASESORIA\FERIA\HANNA\Organigrama autorizad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1764" cy="4232253"/>
                    </a:xfrm>
                    <a:prstGeom prst="rect">
                      <a:avLst/>
                    </a:prstGeom>
                    <a:noFill/>
                    <a:ln>
                      <a:noFill/>
                    </a:ln>
                  </pic:spPr>
                </pic:pic>
              </a:graphicData>
            </a:graphic>
            <wp14:sizeRelH relativeFrom="page">
              <wp14:pctWidth>0</wp14:pctWidth>
            </wp14:sizeRelH>
            <wp14:sizeRelV relativeFrom="page">
              <wp14:pctHeight>0</wp14:pctHeight>
            </wp14:sizeRelV>
          </wp:anchor>
        </w:drawing>
      </w:r>
      <w:r w:rsidR="007D1E76" w:rsidRPr="00E74967">
        <w:rPr>
          <w:rFonts w:cs="Calibri"/>
          <w:b/>
        </w:rPr>
        <w:t>f)</w:t>
      </w:r>
      <w:r w:rsidR="007D1E76" w:rsidRPr="00E74967">
        <w:rPr>
          <w:rFonts w:cs="Calibri"/>
        </w:rPr>
        <w:t xml:space="preserve"> Estructura organizacional básica.</w:t>
      </w:r>
      <w:r w:rsidR="0087373A">
        <w:rPr>
          <w:noProof/>
          <w:lang w:eastAsia="es-MX"/>
        </w:rPr>
        <mc:AlternateContent>
          <mc:Choice Requires="wps">
            <w:drawing>
              <wp:anchor distT="0" distB="0" distL="114300" distR="114300" simplePos="0" relativeHeight="251696128" behindDoc="0" locked="0" layoutInCell="1" allowOverlap="1" wp14:anchorId="02D1013B" wp14:editId="2728D9E6">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39BA1D28" w14:textId="77777777"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D101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" fillcolor="yellow" strokecolor="#385d8a" strokeweight="2pt">
                <v:path arrowok="t"/>
                <v:textbox>
                  <w:txbxContent>
                    <w:p w14:paraId="39BA1D28" w14:textId="77777777" w:rsidR="0087373A" w:rsidRDefault="0087373A" w:rsidP="0087373A">
                      <w:pPr>
                        <w:spacing w:after="0" w:line="240" w:lineRule="auto"/>
                        <w:jc w:val="center"/>
                      </w:pPr>
                      <w:r>
                        <w:t>JURÍDICO</w:t>
                      </w:r>
                    </w:p>
                  </w:txbxContent>
                </v:textbox>
              </v:shape>
            </w:pict>
          </mc:Fallback>
        </mc:AlternateContent>
      </w:r>
      <w:r w:rsidR="0087373A">
        <w:rPr>
          <w:noProof/>
          <w:lang w:eastAsia="es-MX"/>
        </w:rPr>
        <mc:AlternateContent>
          <mc:Choice Requires="wps">
            <w:drawing>
              <wp:anchor distT="0" distB="0" distL="114300" distR="114300" simplePos="0" relativeHeight="251697152" behindDoc="0" locked="0" layoutInCell="1" allowOverlap="1" wp14:anchorId="2FCAEC03" wp14:editId="16CD0410">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7BA2F690" w14:textId="77777777" w:rsidR="0087373A" w:rsidRPr="0035375E" w:rsidRDefault="0087373A" w:rsidP="0087373A">
                            <w:pPr>
                              <w:spacing w:after="0" w:line="240" w:lineRule="auto"/>
                              <w:jc w:val="center"/>
                              <w:rPr>
                                <w:sz w:val="18"/>
                              </w:rPr>
                            </w:pPr>
                            <w:r w:rsidRPr="0035375E">
                              <w:rPr>
                                <w:sz w:val="18"/>
                              </w:rPr>
                              <w:t xml:space="preserve">ENCARGADO LOG. Y EVENTOS </w:t>
                            </w:r>
                          </w:p>
                          <w:p w14:paraId="35D9DCF0" w14:textId="77777777"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CAEC03" id="Proceso alternativo 197" o:spid="_x0000_s1027"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" fillcolor="yellow" strokecolor="#385d8a" strokeweight="2pt">
                <v:path arrowok="t"/>
                <v:textbox>
                  <w:txbxContent>
                    <w:p w14:paraId="7BA2F690" w14:textId="77777777" w:rsidR="0087373A" w:rsidRPr="0035375E" w:rsidRDefault="0087373A" w:rsidP="0087373A">
                      <w:pPr>
                        <w:spacing w:after="0" w:line="240" w:lineRule="auto"/>
                        <w:jc w:val="center"/>
                        <w:rPr>
                          <w:sz w:val="18"/>
                        </w:rPr>
                      </w:pPr>
                      <w:r w:rsidRPr="0035375E">
                        <w:rPr>
                          <w:sz w:val="18"/>
                        </w:rPr>
                        <w:t xml:space="preserve">ENCARGADO LOG. Y EVENTOS </w:t>
                      </w:r>
                    </w:p>
                    <w:p w14:paraId="35D9DCF0" w14:textId="77777777" w:rsidR="0087373A" w:rsidRPr="0035375E" w:rsidRDefault="0087373A" w:rsidP="0087373A">
                      <w:pPr>
                        <w:spacing w:after="0" w:line="240" w:lineRule="auto"/>
                        <w:jc w:val="center"/>
                        <w:rPr>
                          <w:sz w:val="18"/>
                        </w:rPr>
                      </w:pPr>
                    </w:p>
                  </w:txbxContent>
                </v:textbox>
              </v:shape>
            </w:pict>
          </mc:Fallback>
        </mc:AlternateContent>
      </w:r>
      <w:r w:rsidR="0087373A">
        <w:rPr>
          <w:noProof/>
          <w:lang w:eastAsia="es-MX"/>
        </w:rPr>
        <mc:AlternateContent>
          <mc:Choice Requires="wps">
            <w:drawing>
              <wp:anchor distT="0" distB="0" distL="114300" distR="114300" simplePos="0" relativeHeight="251713536" behindDoc="0" locked="0" layoutInCell="1" allowOverlap="1" wp14:anchorId="24F1FB12" wp14:editId="450CB2FD">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67406FD" id="_x0000_t32" coordsize="21600,21600" o:spt="32" o:oned="t" path="m,l21600,21600e" filled="f">
                <v:path arrowok="t" fillok="f" o:connecttype="none"/>
                <o:lock v:ext="edit" shapetype="t"/>
              </v:shapetype>
              <v:shape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DfpsvzLAQAAdwMAAA4A&#10;AAAAAAAAAAAAAAAALgIAAGRycy9lMm9Eb2MueG1sUEsBAi0AFAAGAAgAAAAhADt+pKrgAAAACwEA&#10;AA8AAAAAAAAAAAAAAAAAJQQAAGRycy9kb3ducmV2LnhtbFBLBQYAAAAABAAEAPMAAAAyBQAAAAA=&#10;">
                <v:stroke endarrow="block"/>
              </v:shape>
            </w:pict>
          </mc:Fallback>
        </mc:AlternateContent>
      </w:r>
      <w:r w:rsidR="00150D04">
        <w:t xml:space="preserve"> </w:t>
      </w:r>
    </w:p>
    <w:p w14:paraId="3C9A0068" w14:textId="20A6FA73" w:rsidR="007D1E76" w:rsidRPr="00E74967" w:rsidRDefault="007D1E76" w:rsidP="005274F7">
      <w:pPr>
        <w:tabs>
          <w:tab w:val="left" w:leader="underscore" w:pos="9639"/>
        </w:tabs>
        <w:spacing w:after="0"/>
        <w:jc w:val="both"/>
        <w:rPr>
          <w:rFonts w:cs="Calibri"/>
        </w:rPr>
      </w:pPr>
      <w:r w:rsidRPr="00E74967">
        <w:rPr>
          <w:rFonts w:cs="Calibri"/>
          <w:b/>
        </w:rPr>
        <w:t>g)</w:t>
      </w:r>
      <w:r w:rsidRPr="00E74967">
        <w:rPr>
          <w:rFonts w:cs="Calibri"/>
        </w:rPr>
        <w:t xml:space="preserve"> </w:t>
      </w:r>
      <w:r w:rsidR="00D3392D">
        <w:t>Fideicomisos de los cuales es fideicomitente o fideicomisario, y contratos análogos, incluyendo mandatos de los cuales es parte</w:t>
      </w:r>
      <w:r w:rsidRPr="00E74967">
        <w:rPr>
          <w:rFonts w:cs="Calibri"/>
        </w:rPr>
        <w:t>.</w:t>
      </w:r>
    </w:p>
    <w:p w14:paraId="7B0E5EAF" w14:textId="7BCF0F76" w:rsidR="00036623" w:rsidRDefault="00036623" w:rsidP="005274F7">
      <w:pPr>
        <w:tabs>
          <w:tab w:val="left" w:leader="underscore" w:pos="9639"/>
        </w:tabs>
        <w:spacing w:after="0"/>
        <w:jc w:val="both"/>
        <w:rPr>
          <w:rFonts w:cs="Calibri"/>
        </w:rPr>
      </w:pPr>
    </w:p>
    <w:p w14:paraId="715355A9" w14:textId="77777777" w:rsidR="007D1E76" w:rsidRDefault="00036623" w:rsidP="005274F7">
      <w:pPr>
        <w:tabs>
          <w:tab w:val="left" w:leader="underscore" w:pos="9639"/>
        </w:tabs>
        <w:spacing w:after="0"/>
        <w:jc w:val="both"/>
        <w:rPr>
          <w:rFonts w:cs="Calibri"/>
        </w:rPr>
      </w:pPr>
      <w:r w:rsidRPr="006607C7">
        <w:rPr>
          <w:rFonts w:cs="Calibri"/>
          <w:u w:val="single"/>
        </w:rPr>
        <w:t>Nada que Manifestar</w:t>
      </w:r>
    </w:p>
    <w:p w14:paraId="250A186D" w14:textId="77777777" w:rsidR="00CB41C4" w:rsidRPr="00E74967" w:rsidRDefault="00CB41C4" w:rsidP="005274F7">
      <w:pPr>
        <w:tabs>
          <w:tab w:val="left" w:leader="underscore" w:pos="9639"/>
        </w:tabs>
        <w:spacing w:after="0"/>
        <w:jc w:val="both"/>
        <w:rPr>
          <w:rFonts w:cs="Calibri"/>
        </w:rPr>
      </w:pPr>
    </w:p>
    <w:p w14:paraId="0F57D3F5" w14:textId="5B47466A" w:rsidR="007D1E76" w:rsidRPr="000C3365" w:rsidRDefault="00D3392D" w:rsidP="005274F7">
      <w:pPr>
        <w:pStyle w:val="Ttulo2"/>
        <w:rPr>
          <w:rFonts w:asciiTheme="minorHAnsi" w:hAnsiTheme="minorHAnsi" w:cstheme="minorHAnsi"/>
          <w:b/>
          <w:color w:val="auto"/>
          <w:sz w:val="22"/>
        </w:rPr>
      </w:pPr>
      <w:bookmarkStart w:id="4" w:name="_Toc137545524"/>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4"/>
    </w:p>
    <w:p w14:paraId="376B26FC" w14:textId="77777777" w:rsidR="007D1E76" w:rsidRPr="00E74967" w:rsidRDefault="007D1E76" w:rsidP="005274F7">
      <w:pPr>
        <w:tabs>
          <w:tab w:val="left" w:leader="underscore" w:pos="9639"/>
        </w:tabs>
        <w:spacing w:after="0"/>
        <w:jc w:val="both"/>
        <w:rPr>
          <w:rFonts w:cs="Calibri"/>
        </w:rPr>
      </w:pPr>
      <w:r w:rsidRPr="00E74967">
        <w:rPr>
          <w:rFonts w:cs="Calibri"/>
        </w:rPr>
        <w:t>Se informará sobre:</w:t>
      </w:r>
    </w:p>
    <w:p w14:paraId="24C3683E" w14:textId="77777777" w:rsidR="007D1E76" w:rsidRPr="00E74967" w:rsidRDefault="007D1E76" w:rsidP="005274F7">
      <w:pPr>
        <w:tabs>
          <w:tab w:val="left" w:leader="underscore" w:pos="9639"/>
        </w:tabs>
        <w:spacing w:after="0"/>
        <w:jc w:val="both"/>
        <w:rPr>
          <w:rFonts w:cs="Calibri"/>
        </w:rPr>
      </w:pPr>
    </w:p>
    <w:p w14:paraId="7782CC11" w14:textId="77777777"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FDB9532" w14:textId="77777777" w:rsidR="00036623" w:rsidRDefault="00036623" w:rsidP="005274F7">
      <w:pPr>
        <w:tabs>
          <w:tab w:val="left" w:leader="underscore" w:pos="9639"/>
        </w:tabs>
        <w:spacing w:after="0"/>
        <w:jc w:val="both"/>
        <w:rPr>
          <w:rFonts w:cs="Calibri"/>
        </w:rPr>
      </w:pPr>
    </w:p>
    <w:p w14:paraId="55F78417" w14:textId="77777777" w:rsidR="00036623" w:rsidRPr="00FC3E53" w:rsidRDefault="00036623" w:rsidP="005274F7">
      <w:pPr>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139359F9" w14:textId="4A58F5D5" w:rsidR="00036623" w:rsidRPr="00E74967" w:rsidRDefault="00036623" w:rsidP="005274F7">
      <w:pPr>
        <w:tabs>
          <w:tab w:val="left" w:leader="underscore" w:pos="9639"/>
        </w:tabs>
        <w:spacing w:after="0"/>
        <w:jc w:val="both"/>
        <w:rPr>
          <w:rFonts w:cs="Calibri"/>
        </w:rPr>
      </w:pPr>
      <w:r w:rsidRPr="00FC3E53">
        <w:rPr>
          <w:rFonts w:ascii="Arial" w:hAnsi="Arial" w:cs="Arial"/>
          <w:sz w:val="24"/>
          <w:szCs w:val="24"/>
          <w:u w:val="single"/>
        </w:rPr>
        <w:t>A partir de ejercicio 2011 se empezó a trabajar con la estructura que marca</w:t>
      </w:r>
      <w:r w:rsidR="00556D83">
        <w:rPr>
          <w:rFonts w:ascii="Arial" w:hAnsi="Arial" w:cs="Arial"/>
          <w:sz w:val="24"/>
          <w:szCs w:val="24"/>
          <w:u w:val="single"/>
        </w:rPr>
        <w:t xml:space="preserve"> la normativa emitida por el </w:t>
      </w:r>
      <w:r w:rsidR="00672E00">
        <w:rPr>
          <w:rFonts w:ascii="Arial" w:hAnsi="Arial" w:cs="Arial"/>
          <w:sz w:val="24"/>
          <w:szCs w:val="24"/>
          <w:u w:val="single"/>
        </w:rPr>
        <w:t>CONAC</w:t>
      </w:r>
      <w:r w:rsidRPr="00FC3E53">
        <w:rPr>
          <w:rFonts w:ascii="Arial" w:hAnsi="Arial" w:cs="Arial"/>
          <w:sz w:val="24"/>
          <w:szCs w:val="24"/>
          <w:u w:val="single"/>
        </w:rPr>
        <w:t xml:space="preserve">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cont</w:t>
      </w:r>
      <w:r>
        <w:rPr>
          <w:rFonts w:ascii="Arial" w:hAnsi="Arial" w:cs="Arial"/>
          <w:sz w:val="24"/>
          <w:szCs w:val="24"/>
          <w:u w:val="single"/>
        </w:rPr>
        <w:t>p</w:t>
      </w:r>
      <w:r w:rsidRPr="00FC3E53">
        <w:rPr>
          <w:rFonts w:ascii="Arial" w:hAnsi="Arial" w:cs="Arial"/>
          <w:sz w:val="24"/>
          <w:szCs w:val="24"/>
          <w:u w:val="single"/>
        </w:rPr>
        <w:t xml:space="preserve">aq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w:t>
      </w:r>
      <w:r w:rsidRPr="00FC3E53">
        <w:rPr>
          <w:rFonts w:ascii="Arial" w:hAnsi="Arial" w:cs="Arial"/>
          <w:sz w:val="24"/>
          <w:szCs w:val="24"/>
          <w:u w:val="single"/>
        </w:rPr>
        <w:lastRenderedPageBreak/>
        <w:t>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16EF635A" w14:textId="77777777" w:rsidR="007D1E76" w:rsidRPr="00E74967" w:rsidRDefault="007D1E76" w:rsidP="005274F7">
      <w:pPr>
        <w:tabs>
          <w:tab w:val="left" w:leader="underscore" w:pos="9639"/>
        </w:tabs>
        <w:spacing w:after="0"/>
        <w:jc w:val="both"/>
        <w:rPr>
          <w:rFonts w:cs="Calibri"/>
        </w:rPr>
      </w:pPr>
    </w:p>
    <w:p w14:paraId="71F65253" w14:textId="5DE8E11A"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1C13C75" w14:textId="77777777" w:rsidR="00036623" w:rsidRDefault="00036623" w:rsidP="005274F7">
      <w:pPr>
        <w:tabs>
          <w:tab w:val="left" w:leader="underscore" w:pos="9639"/>
        </w:tabs>
        <w:spacing w:after="0"/>
        <w:jc w:val="both"/>
        <w:rPr>
          <w:rFonts w:cs="Calibri"/>
        </w:rPr>
      </w:pPr>
    </w:p>
    <w:p w14:paraId="3D39032F" w14:textId="27BAE158" w:rsidR="00036623" w:rsidRPr="00FC3E53" w:rsidRDefault="00036623" w:rsidP="005274F7">
      <w:pPr>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w:t>
      </w:r>
      <w:r w:rsidR="005274F7" w:rsidRPr="00FC3E53">
        <w:rPr>
          <w:rFonts w:ascii="Arial" w:hAnsi="Arial" w:cs="Arial"/>
          <w:sz w:val="24"/>
          <w:szCs w:val="24"/>
          <w:u w:val="single"/>
        </w:rPr>
        <w:t>Financieros se</w:t>
      </w:r>
      <w:r w:rsidRPr="00FC3E53">
        <w:rPr>
          <w:rFonts w:ascii="Arial" w:hAnsi="Arial" w:cs="Arial"/>
          <w:sz w:val="24"/>
          <w:szCs w:val="24"/>
          <w:u w:val="single"/>
        </w:rPr>
        <w:t xml:space="preserve"> determinaran en base a valor de realización </w:t>
      </w:r>
    </w:p>
    <w:p w14:paraId="4F3C0222" w14:textId="77777777" w:rsidR="007D1E76" w:rsidRPr="00E74967" w:rsidRDefault="007D1E76" w:rsidP="005274F7">
      <w:pPr>
        <w:tabs>
          <w:tab w:val="left" w:leader="underscore" w:pos="9639"/>
        </w:tabs>
        <w:spacing w:after="0"/>
        <w:jc w:val="both"/>
        <w:rPr>
          <w:rFonts w:cs="Calibri"/>
        </w:rPr>
      </w:pPr>
    </w:p>
    <w:p w14:paraId="4C2AA6F2" w14:textId="4AB36C9C" w:rsidR="007D1E76" w:rsidRPr="00E74967" w:rsidRDefault="007D1E76" w:rsidP="005274F7">
      <w:pPr>
        <w:tabs>
          <w:tab w:val="left" w:leader="underscore" w:pos="9639"/>
        </w:tabs>
        <w:spacing w:after="0"/>
        <w:jc w:val="both"/>
        <w:rPr>
          <w:rFonts w:cs="Calibri"/>
        </w:rPr>
      </w:pPr>
      <w:r w:rsidRPr="00E74967">
        <w:rPr>
          <w:rFonts w:cs="Calibri"/>
          <w:b/>
        </w:rPr>
        <w:t>c)</w:t>
      </w:r>
      <w:r w:rsidRPr="00E74967">
        <w:rPr>
          <w:rFonts w:cs="Calibri"/>
        </w:rPr>
        <w:t xml:space="preserve"> </w:t>
      </w:r>
      <w:r w:rsidR="00D3392D">
        <w:t>Postulados básicos de Contabilidad Gubernamental (PBCG)</w:t>
      </w:r>
      <w:r w:rsidRPr="00E74967">
        <w:rPr>
          <w:rFonts w:cs="Calibri"/>
        </w:rPr>
        <w:t>.</w:t>
      </w:r>
    </w:p>
    <w:p w14:paraId="1B536E87" w14:textId="77777777" w:rsidR="00036623" w:rsidRDefault="00036623" w:rsidP="005274F7">
      <w:pPr>
        <w:tabs>
          <w:tab w:val="left" w:leader="underscore" w:pos="9639"/>
        </w:tabs>
        <w:spacing w:after="0"/>
        <w:jc w:val="both"/>
        <w:rPr>
          <w:rFonts w:cs="Calibri"/>
        </w:rPr>
      </w:pPr>
    </w:p>
    <w:p w14:paraId="6AC3F7FF" w14:textId="77777777" w:rsidR="00036623" w:rsidRPr="00FC3E53" w:rsidRDefault="00036623" w:rsidP="005274F7">
      <w:pPr>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14:paraId="7B0DF25C" w14:textId="77777777" w:rsidR="007D1E76" w:rsidRPr="00E74967" w:rsidRDefault="007D1E76" w:rsidP="005274F7">
      <w:pPr>
        <w:tabs>
          <w:tab w:val="left" w:leader="underscore" w:pos="9639"/>
        </w:tabs>
        <w:spacing w:after="0"/>
        <w:jc w:val="both"/>
        <w:rPr>
          <w:rFonts w:cs="Calibri"/>
        </w:rPr>
      </w:pPr>
    </w:p>
    <w:p w14:paraId="6117B5DF" w14:textId="7775095E" w:rsidR="007D1E76" w:rsidRPr="00E74967" w:rsidRDefault="007D1E76" w:rsidP="005274F7">
      <w:pPr>
        <w:tabs>
          <w:tab w:val="left" w:leader="underscore" w:pos="9639"/>
        </w:tabs>
        <w:spacing w:after="0"/>
        <w:jc w:val="both"/>
        <w:rPr>
          <w:rFonts w:cs="Calibri"/>
        </w:rPr>
      </w:pPr>
      <w:r w:rsidRPr="00E74967">
        <w:rPr>
          <w:rFonts w:cs="Calibri"/>
          <w:b/>
        </w:rPr>
        <w:t>d)</w:t>
      </w:r>
      <w:r w:rsidRPr="00E74967">
        <w:rPr>
          <w:rFonts w:cs="Calibri"/>
        </w:rPr>
        <w:t xml:space="preserve"> </w:t>
      </w:r>
      <w:r w:rsidR="00D3392D">
        <w:t>Normatividad supletoria. En caso de emplear varios grupos de normatividades (normatividades supletorias), deberá realizar la justificación razonable correspondiente, su alineación con los PBCG y a las características cualitativas asociadas descritas en el Marco Conceptual de Contabilidad Gubernamental (MCCG) y sus modificaciones</w:t>
      </w:r>
      <w:r w:rsidRPr="00E74967">
        <w:rPr>
          <w:rFonts w:cs="Calibri"/>
        </w:rPr>
        <w:t>.</w:t>
      </w:r>
    </w:p>
    <w:p w14:paraId="65A90EFD" w14:textId="77777777" w:rsidR="00036623" w:rsidRDefault="00036623" w:rsidP="005274F7">
      <w:pPr>
        <w:tabs>
          <w:tab w:val="left" w:leader="underscore" w:pos="9639"/>
        </w:tabs>
        <w:spacing w:after="0"/>
        <w:jc w:val="both"/>
        <w:rPr>
          <w:rFonts w:cs="Calibri"/>
        </w:rPr>
      </w:pPr>
    </w:p>
    <w:p w14:paraId="21B0FE17" w14:textId="77777777" w:rsidR="00036623" w:rsidRPr="005274F7" w:rsidRDefault="00036623"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No Aplica</w:t>
      </w:r>
    </w:p>
    <w:p w14:paraId="1E108DB4" w14:textId="77777777" w:rsidR="007D1E76" w:rsidRPr="00E74967" w:rsidRDefault="007D1E76" w:rsidP="005274F7">
      <w:pPr>
        <w:tabs>
          <w:tab w:val="left" w:leader="underscore" w:pos="9639"/>
        </w:tabs>
        <w:spacing w:after="0"/>
        <w:jc w:val="both"/>
        <w:rPr>
          <w:rFonts w:cs="Calibri"/>
        </w:rPr>
      </w:pPr>
    </w:p>
    <w:p w14:paraId="7C18E198" w14:textId="77777777" w:rsidR="007D1E76" w:rsidRPr="00E74967" w:rsidRDefault="007D1E76" w:rsidP="005274F7">
      <w:pPr>
        <w:tabs>
          <w:tab w:val="left" w:leader="underscore" w:pos="9639"/>
        </w:tabs>
        <w:spacing w:after="0"/>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1936EB1" w14:textId="77777777" w:rsidR="007D1E76" w:rsidRPr="00E74967" w:rsidRDefault="007D1E76" w:rsidP="005274F7">
      <w:pPr>
        <w:tabs>
          <w:tab w:val="left" w:leader="underscore" w:pos="9639"/>
        </w:tabs>
        <w:spacing w:after="0"/>
        <w:jc w:val="both"/>
        <w:rPr>
          <w:rFonts w:cs="Calibri"/>
        </w:rPr>
      </w:pPr>
    </w:p>
    <w:p w14:paraId="1F1AC94B" w14:textId="77777777" w:rsidR="00D3392D" w:rsidRDefault="007D1E76" w:rsidP="00D3392D">
      <w:pPr>
        <w:tabs>
          <w:tab w:val="left" w:leader="underscore" w:pos="9639"/>
        </w:tabs>
        <w:spacing w:after="0"/>
        <w:jc w:val="both"/>
        <w:rPr>
          <w:rFonts w:cs="Calibri"/>
        </w:rPr>
      </w:pPr>
      <w:r w:rsidRPr="00E74967">
        <w:rPr>
          <w:rFonts w:cs="Calibri"/>
        </w:rPr>
        <w:t>*Revelar las nuevas políticas de reconocimiento:</w:t>
      </w:r>
    </w:p>
    <w:p w14:paraId="339505BA" w14:textId="77777777" w:rsidR="00D3392D" w:rsidRDefault="00D3392D" w:rsidP="00D3392D">
      <w:pPr>
        <w:tabs>
          <w:tab w:val="left" w:leader="underscore" w:pos="9639"/>
        </w:tabs>
        <w:spacing w:after="0"/>
        <w:jc w:val="both"/>
        <w:rPr>
          <w:rFonts w:cs="Calibri"/>
        </w:rPr>
      </w:pPr>
    </w:p>
    <w:p w14:paraId="583E2D3F" w14:textId="7F8F3299" w:rsidR="00036623" w:rsidRPr="00D3392D" w:rsidRDefault="00036623" w:rsidP="00D3392D">
      <w:pPr>
        <w:tabs>
          <w:tab w:val="left" w:leader="underscore" w:pos="9639"/>
        </w:tabs>
        <w:spacing w:after="0"/>
        <w:jc w:val="both"/>
        <w:rPr>
          <w:rFonts w:cs="Calibri"/>
        </w:rPr>
      </w:pPr>
      <w:r w:rsidRPr="00FC3E53">
        <w:rPr>
          <w:rFonts w:ascii="Arial" w:hAnsi="Arial" w:cs="Arial"/>
          <w:sz w:val="24"/>
          <w:szCs w:val="24"/>
          <w:u w:val="single"/>
        </w:rPr>
        <w:t xml:space="preserve">Después de que en 2013 se trabajó con los 2 sistemas a la par tanto SAP como contpaq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14:paraId="645AC0CC" w14:textId="77777777" w:rsidR="007D1E76" w:rsidRPr="00E74967" w:rsidRDefault="007D1E76" w:rsidP="005274F7">
      <w:pPr>
        <w:tabs>
          <w:tab w:val="left" w:leader="underscore" w:pos="9639"/>
        </w:tabs>
        <w:spacing w:after="0"/>
        <w:jc w:val="both"/>
        <w:rPr>
          <w:rFonts w:cs="Calibri"/>
        </w:rPr>
      </w:pPr>
    </w:p>
    <w:p w14:paraId="08A33611" w14:textId="77777777" w:rsidR="007D1E76" w:rsidRPr="00E74967" w:rsidRDefault="007D1E76" w:rsidP="005274F7">
      <w:pPr>
        <w:tabs>
          <w:tab w:val="left" w:leader="underscore" w:pos="9639"/>
        </w:tabs>
        <w:spacing w:after="0"/>
        <w:jc w:val="both"/>
        <w:rPr>
          <w:rFonts w:cs="Calibri"/>
        </w:rPr>
      </w:pPr>
      <w:r w:rsidRPr="00E74967">
        <w:rPr>
          <w:rFonts w:cs="Calibri"/>
        </w:rPr>
        <w:t>*Plan de implementación:</w:t>
      </w:r>
    </w:p>
    <w:p w14:paraId="3784D39A" w14:textId="77777777" w:rsidR="005274F7" w:rsidRDefault="005274F7" w:rsidP="005274F7">
      <w:pPr>
        <w:tabs>
          <w:tab w:val="left" w:leader="underscore" w:pos="9639"/>
        </w:tabs>
        <w:spacing w:after="0"/>
        <w:jc w:val="both"/>
        <w:rPr>
          <w:rFonts w:ascii="Arial" w:hAnsi="Arial" w:cs="Arial"/>
          <w:sz w:val="24"/>
          <w:szCs w:val="24"/>
          <w:u w:val="single"/>
        </w:rPr>
      </w:pPr>
    </w:p>
    <w:p w14:paraId="785DE97D" w14:textId="12E35D74" w:rsidR="00036623" w:rsidRDefault="00036623"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w:t>
      </w:r>
      <w:r w:rsidRPr="00FC3E53">
        <w:rPr>
          <w:rFonts w:ascii="Arial" w:hAnsi="Arial" w:cs="Arial"/>
          <w:sz w:val="24"/>
          <w:szCs w:val="24"/>
          <w:u w:val="single"/>
        </w:rPr>
        <w:lastRenderedPageBreak/>
        <w:t>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14:paraId="45D34CE8" w14:textId="77777777" w:rsidR="007D1E76" w:rsidRPr="00E74967" w:rsidRDefault="007D1E76" w:rsidP="005274F7">
      <w:pPr>
        <w:tabs>
          <w:tab w:val="left" w:leader="underscore" w:pos="9639"/>
        </w:tabs>
        <w:spacing w:after="0"/>
        <w:jc w:val="both"/>
        <w:rPr>
          <w:rFonts w:cs="Calibri"/>
        </w:rPr>
      </w:pPr>
    </w:p>
    <w:p w14:paraId="563A3AB8" w14:textId="77777777" w:rsidR="007D1E76" w:rsidRPr="00E74967" w:rsidRDefault="007D1E76" w:rsidP="005274F7">
      <w:pPr>
        <w:tabs>
          <w:tab w:val="left" w:leader="underscore" w:pos="9639"/>
        </w:tabs>
        <w:spacing w:after="0"/>
        <w:jc w:val="both"/>
        <w:rPr>
          <w:rFonts w:cs="Calibri"/>
        </w:rPr>
      </w:pPr>
      <w:r w:rsidRPr="00E74967">
        <w:rPr>
          <w:rFonts w:cs="Calibri"/>
        </w:rPr>
        <w:t>*Revelar los cambios en las políticas, la clasificación y medición de las mismas, así como su impacto en la información financiera:</w:t>
      </w:r>
    </w:p>
    <w:p w14:paraId="12EB87E7" w14:textId="77777777" w:rsidR="00036623" w:rsidRDefault="00036623" w:rsidP="005274F7">
      <w:pPr>
        <w:tabs>
          <w:tab w:val="left" w:leader="underscore" w:pos="9639"/>
        </w:tabs>
        <w:spacing w:after="0"/>
        <w:jc w:val="both"/>
        <w:rPr>
          <w:rFonts w:cs="Calibri"/>
        </w:rPr>
      </w:pPr>
    </w:p>
    <w:p w14:paraId="70C96156" w14:textId="52EC3A58" w:rsidR="00036623" w:rsidRDefault="00036623" w:rsidP="005274F7">
      <w:pPr>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w:t>
      </w:r>
      <w:r w:rsidR="005274F7" w:rsidRPr="00FC3E53">
        <w:rPr>
          <w:rFonts w:ascii="Arial" w:hAnsi="Arial" w:cs="Arial"/>
          <w:sz w:val="24"/>
          <w:szCs w:val="24"/>
          <w:u w:val="single"/>
        </w:rPr>
        <w:t>la Ley</w:t>
      </w:r>
      <w:r w:rsidRPr="00FC3E53">
        <w:rPr>
          <w:rFonts w:ascii="Arial" w:hAnsi="Arial" w:cs="Arial"/>
          <w:sz w:val="24"/>
          <w:szCs w:val="24"/>
          <w:u w:val="single"/>
        </w:rPr>
        <w:t xml:space="preserve"> General de Contabilidad Gubernamental.</w:t>
      </w:r>
    </w:p>
    <w:p w14:paraId="4B87306A" w14:textId="00D2FD3E" w:rsidR="00D3392D" w:rsidRDefault="00D3392D" w:rsidP="00D3392D">
      <w:pPr>
        <w:jc w:val="both"/>
      </w:pPr>
      <w:r w:rsidRPr="00E74967">
        <w:rPr>
          <w:rFonts w:cs="Calibri"/>
        </w:rPr>
        <w:t>*</w:t>
      </w:r>
      <w:r>
        <w:t>Presentar los últimos estados financieros con la normatividad anteriormente utilizada con las nuevas políticas para fines de comparación en la transición a la base de devengado:</w:t>
      </w:r>
    </w:p>
    <w:p w14:paraId="6C120765" w14:textId="48C569BF" w:rsidR="00D3392D" w:rsidRPr="00FC3E53" w:rsidRDefault="00D3392D" w:rsidP="00D3392D">
      <w:pPr>
        <w:jc w:val="both"/>
        <w:rPr>
          <w:rFonts w:ascii="Arial" w:hAnsi="Arial" w:cs="Arial"/>
          <w:sz w:val="24"/>
          <w:szCs w:val="24"/>
          <w:u w:val="single"/>
        </w:rPr>
      </w:pPr>
      <w:r>
        <w:rPr>
          <w:rFonts w:ascii="Arial" w:hAnsi="Arial" w:cs="Arial"/>
          <w:sz w:val="24"/>
          <w:szCs w:val="24"/>
          <w:u w:val="single"/>
        </w:rPr>
        <w:t>Los Estados Financieros emitidos al 31 de Marzo del 2023, ya fueron estructurados con las nuevas políticas de comparación en el proceso del devengado.</w:t>
      </w:r>
    </w:p>
    <w:p w14:paraId="78A817D3" w14:textId="77777777" w:rsidR="007D1E76" w:rsidRPr="00E74967" w:rsidRDefault="007D1E76" w:rsidP="005274F7">
      <w:pPr>
        <w:tabs>
          <w:tab w:val="left" w:leader="underscore" w:pos="9639"/>
        </w:tabs>
        <w:spacing w:after="0"/>
        <w:jc w:val="both"/>
        <w:rPr>
          <w:rFonts w:cs="Calibri"/>
        </w:rPr>
      </w:pPr>
    </w:p>
    <w:p w14:paraId="17369F08" w14:textId="1B04F1FD" w:rsidR="007D1E76" w:rsidRPr="00E74967" w:rsidRDefault="00D3392D" w:rsidP="005274F7">
      <w:pPr>
        <w:pStyle w:val="Ttulo2"/>
        <w:rPr>
          <w:rFonts w:cs="Calibri"/>
          <w:b/>
        </w:rPr>
      </w:pPr>
      <w:bookmarkStart w:id="5" w:name="_Toc137545525"/>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5"/>
    </w:p>
    <w:p w14:paraId="257FC662" w14:textId="77777777" w:rsidR="007D1E76" w:rsidRPr="00E74967" w:rsidRDefault="007D1E76" w:rsidP="005274F7">
      <w:pPr>
        <w:tabs>
          <w:tab w:val="left" w:leader="underscore" w:pos="9639"/>
        </w:tabs>
        <w:spacing w:after="0"/>
        <w:jc w:val="both"/>
        <w:rPr>
          <w:rFonts w:cs="Calibri"/>
        </w:rPr>
      </w:pPr>
    </w:p>
    <w:p w14:paraId="6D195517" w14:textId="77777777" w:rsidR="00D3392D" w:rsidRDefault="00D3392D" w:rsidP="005274F7">
      <w:pPr>
        <w:tabs>
          <w:tab w:val="left" w:leader="underscore" w:pos="9639"/>
        </w:tabs>
        <w:spacing w:after="0"/>
        <w:jc w:val="both"/>
      </w:pPr>
      <w:r>
        <w:t xml:space="preserve">Son los principios, bases, reglas y procedimientos específicos adoptados por el ente público en la elaboración y presentación de sus estados financieros. </w:t>
      </w:r>
    </w:p>
    <w:p w14:paraId="4D829191" w14:textId="77777777" w:rsidR="00D3392D" w:rsidRDefault="00D3392D" w:rsidP="005274F7">
      <w:pPr>
        <w:tabs>
          <w:tab w:val="left" w:leader="underscore" w:pos="9639"/>
        </w:tabs>
        <w:spacing w:after="0"/>
        <w:jc w:val="both"/>
      </w:pPr>
    </w:p>
    <w:p w14:paraId="31EA543A" w14:textId="07150C39" w:rsidR="007D1E76" w:rsidRPr="00E74967" w:rsidRDefault="007D1E76" w:rsidP="005274F7">
      <w:pPr>
        <w:tabs>
          <w:tab w:val="left" w:leader="underscore" w:pos="9639"/>
        </w:tabs>
        <w:spacing w:after="0"/>
        <w:jc w:val="both"/>
        <w:rPr>
          <w:rFonts w:cs="Calibri"/>
        </w:rPr>
      </w:pPr>
      <w:r w:rsidRPr="00E74967">
        <w:rPr>
          <w:rFonts w:cs="Calibri"/>
        </w:rPr>
        <w:t>Se informará sobre:</w:t>
      </w:r>
    </w:p>
    <w:p w14:paraId="05ADF882" w14:textId="77777777" w:rsidR="007D1E76" w:rsidRPr="00E74967" w:rsidRDefault="007D1E76" w:rsidP="005274F7">
      <w:pPr>
        <w:tabs>
          <w:tab w:val="left" w:leader="underscore" w:pos="9639"/>
        </w:tabs>
        <w:spacing w:after="0"/>
        <w:jc w:val="both"/>
        <w:rPr>
          <w:rFonts w:cs="Calibri"/>
        </w:rPr>
      </w:pPr>
    </w:p>
    <w:p w14:paraId="7E2358FB" w14:textId="77777777"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D199982" w14:textId="77777777" w:rsidR="00036623" w:rsidRDefault="00036623" w:rsidP="005274F7">
      <w:pPr>
        <w:tabs>
          <w:tab w:val="left" w:leader="underscore" w:pos="9639"/>
        </w:tabs>
        <w:spacing w:after="0"/>
        <w:jc w:val="both"/>
        <w:rPr>
          <w:rFonts w:cs="Calibri"/>
        </w:rPr>
      </w:pPr>
    </w:p>
    <w:p w14:paraId="4A22E1AC" w14:textId="67D0FCF1" w:rsidR="007D1E76" w:rsidRPr="005274F7" w:rsidRDefault="00036623"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No se cuenta con método</w:t>
      </w:r>
      <w:r w:rsidR="00D3392D">
        <w:rPr>
          <w:rFonts w:ascii="Arial" w:hAnsi="Arial" w:cs="Arial"/>
          <w:sz w:val="24"/>
          <w:szCs w:val="24"/>
          <w:u w:val="single"/>
        </w:rPr>
        <w:t>.</w:t>
      </w:r>
    </w:p>
    <w:p w14:paraId="37386E55" w14:textId="77777777" w:rsidR="00036623" w:rsidRPr="00E74967" w:rsidRDefault="00036623" w:rsidP="005274F7">
      <w:pPr>
        <w:tabs>
          <w:tab w:val="left" w:leader="underscore" w:pos="9639"/>
        </w:tabs>
        <w:spacing w:after="0"/>
        <w:jc w:val="both"/>
        <w:rPr>
          <w:rFonts w:cs="Calibri"/>
        </w:rPr>
      </w:pPr>
    </w:p>
    <w:p w14:paraId="0AED8D79"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DDBEC7F" w14:textId="77777777" w:rsidR="00D3392D" w:rsidRDefault="00D3392D" w:rsidP="005274F7">
      <w:pPr>
        <w:spacing w:after="0"/>
        <w:jc w:val="both"/>
        <w:rPr>
          <w:rFonts w:ascii="Arial" w:hAnsi="Arial" w:cs="Arial"/>
          <w:sz w:val="24"/>
          <w:szCs w:val="24"/>
          <w:u w:val="single"/>
        </w:rPr>
      </w:pPr>
    </w:p>
    <w:p w14:paraId="5658FF39" w14:textId="421DD75D" w:rsidR="00036623" w:rsidRPr="00FC3E53" w:rsidRDefault="00036623" w:rsidP="005274F7">
      <w:pPr>
        <w:spacing w:after="0"/>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2F440440" w14:textId="77777777" w:rsidR="007D1E76" w:rsidRPr="00E74967" w:rsidRDefault="007D1E76" w:rsidP="005274F7">
      <w:pPr>
        <w:tabs>
          <w:tab w:val="left" w:leader="underscore" w:pos="9639"/>
        </w:tabs>
        <w:spacing w:after="0"/>
        <w:jc w:val="both"/>
        <w:rPr>
          <w:rFonts w:cs="Calibri"/>
        </w:rPr>
      </w:pPr>
    </w:p>
    <w:p w14:paraId="5F63DD38" w14:textId="77777777" w:rsidR="007D1E76" w:rsidRPr="00E74967" w:rsidRDefault="007D1E76" w:rsidP="005274F7">
      <w:pPr>
        <w:tabs>
          <w:tab w:val="left" w:leader="underscore" w:pos="9639"/>
        </w:tabs>
        <w:spacing w:after="0"/>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52AA29C" w14:textId="77777777" w:rsidR="00036623" w:rsidRDefault="00036623" w:rsidP="005274F7">
      <w:pPr>
        <w:tabs>
          <w:tab w:val="left" w:leader="underscore" w:pos="9639"/>
        </w:tabs>
        <w:spacing w:after="0"/>
        <w:jc w:val="both"/>
        <w:rPr>
          <w:rFonts w:cs="Calibri"/>
        </w:rPr>
      </w:pPr>
    </w:p>
    <w:p w14:paraId="1FACF86A" w14:textId="77777777" w:rsidR="00036623" w:rsidRPr="00FC3E53" w:rsidRDefault="00036623" w:rsidP="005274F7">
      <w:pPr>
        <w:spacing w:after="0"/>
        <w:jc w:val="both"/>
        <w:rPr>
          <w:rFonts w:ascii="Arial" w:hAnsi="Arial" w:cs="Arial"/>
          <w:sz w:val="24"/>
          <w:szCs w:val="24"/>
          <w:u w:val="single"/>
        </w:rPr>
      </w:pPr>
      <w:r w:rsidRPr="00FC3E53">
        <w:rPr>
          <w:rFonts w:ascii="Arial" w:hAnsi="Arial" w:cs="Arial"/>
          <w:sz w:val="24"/>
          <w:szCs w:val="24"/>
          <w:u w:val="single"/>
        </w:rPr>
        <w:t>No Procede.</w:t>
      </w:r>
    </w:p>
    <w:p w14:paraId="49C2C7C2" w14:textId="77777777" w:rsidR="007D1E76" w:rsidRPr="00E74967" w:rsidRDefault="007D1E76" w:rsidP="005274F7">
      <w:pPr>
        <w:tabs>
          <w:tab w:val="left" w:leader="underscore" w:pos="9639"/>
        </w:tabs>
        <w:spacing w:after="0"/>
        <w:jc w:val="both"/>
        <w:rPr>
          <w:rFonts w:cs="Calibri"/>
        </w:rPr>
      </w:pPr>
    </w:p>
    <w:p w14:paraId="507641BB" w14:textId="77777777" w:rsidR="007D1E76" w:rsidRPr="00E74967" w:rsidRDefault="007D1E76" w:rsidP="005274F7">
      <w:pPr>
        <w:tabs>
          <w:tab w:val="left" w:leader="underscore" w:pos="9639"/>
        </w:tabs>
        <w:spacing w:after="0"/>
        <w:jc w:val="both"/>
        <w:rPr>
          <w:rFonts w:cs="Calibri"/>
        </w:rPr>
      </w:pPr>
      <w:r w:rsidRPr="00E74967">
        <w:rPr>
          <w:rFonts w:cs="Calibri"/>
          <w:b/>
        </w:rPr>
        <w:t>d)</w:t>
      </w:r>
      <w:r w:rsidRPr="00E74967">
        <w:rPr>
          <w:rFonts w:cs="Calibri"/>
        </w:rPr>
        <w:t xml:space="preserve"> Sistema y método de valuación de inventarios y costo de lo vendido:</w:t>
      </w:r>
    </w:p>
    <w:p w14:paraId="63C47E1F" w14:textId="77777777" w:rsidR="00036623" w:rsidRDefault="00036623" w:rsidP="005274F7">
      <w:pPr>
        <w:tabs>
          <w:tab w:val="left" w:leader="underscore" w:pos="9639"/>
        </w:tabs>
        <w:spacing w:after="0"/>
        <w:jc w:val="both"/>
        <w:rPr>
          <w:rFonts w:cs="Calibri"/>
        </w:rPr>
      </w:pPr>
    </w:p>
    <w:p w14:paraId="04274747" w14:textId="56678D7A" w:rsidR="007D1E76" w:rsidRDefault="00036623"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lastRenderedPageBreak/>
        <w:t xml:space="preserve">Los </w:t>
      </w:r>
      <w:r>
        <w:rPr>
          <w:rFonts w:ascii="Arial" w:hAnsi="Arial" w:cs="Arial"/>
          <w:sz w:val="24"/>
          <w:szCs w:val="24"/>
          <w:u w:val="single"/>
        </w:rPr>
        <w:t>ingresos corresponden al uso de espacios</w:t>
      </w:r>
      <w:r w:rsidR="005274F7">
        <w:rPr>
          <w:rFonts w:ascii="Arial" w:hAnsi="Arial" w:cs="Arial"/>
          <w:sz w:val="24"/>
          <w:szCs w:val="24"/>
          <w:u w:val="single"/>
        </w:rPr>
        <w:t xml:space="preserve"> de las instalaciones y uso del mobiliario del Patronato,</w:t>
      </w:r>
      <w:r>
        <w:rPr>
          <w:rFonts w:ascii="Arial" w:hAnsi="Arial" w:cs="Arial"/>
          <w:sz w:val="24"/>
          <w:szCs w:val="24"/>
          <w:u w:val="single"/>
        </w:rPr>
        <w:t xml:space="preserve"> durante el ejercicio fiscal y el evento ferial</w:t>
      </w:r>
      <w:r w:rsidRPr="00FC3E53">
        <w:rPr>
          <w:rFonts w:ascii="Arial" w:hAnsi="Arial" w:cs="Arial"/>
          <w:sz w:val="24"/>
          <w:szCs w:val="24"/>
          <w:u w:val="single"/>
        </w:rPr>
        <w:t>.</w:t>
      </w:r>
    </w:p>
    <w:p w14:paraId="71E6245D" w14:textId="77777777" w:rsidR="00036623" w:rsidRPr="00E74967" w:rsidRDefault="00036623" w:rsidP="005274F7">
      <w:pPr>
        <w:tabs>
          <w:tab w:val="left" w:leader="underscore" w:pos="9639"/>
        </w:tabs>
        <w:spacing w:after="0"/>
        <w:jc w:val="both"/>
        <w:rPr>
          <w:rFonts w:cs="Calibri"/>
        </w:rPr>
      </w:pPr>
    </w:p>
    <w:p w14:paraId="250DFF1E" w14:textId="77777777" w:rsidR="007D1E76" w:rsidRPr="00E74967" w:rsidRDefault="007D1E76" w:rsidP="005274F7">
      <w:pPr>
        <w:tabs>
          <w:tab w:val="left" w:leader="underscore" w:pos="9639"/>
        </w:tabs>
        <w:spacing w:after="0"/>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0FB24" w14:textId="77777777" w:rsidR="00036623" w:rsidRDefault="00036623" w:rsidP="005274F7">
      <w:pPr>
        <w:tabs>
          <w:tab w:val="left" w:leader="underscore" w:pos="9639"/>
        </w:tabs>
        <w:spacing w:after="0"/>
        <w:jc w:val="both"/>
        <w:rPr>
          <w:rFonts w:cs="Calibri"/>
        </w:rPr>
      </w:pPr>
    </w:p>
    <w:p w14:paraId="31AF545E" w14:textId="77777777" w:rsidR="00036623" w:rsidRDefault="00036623" w:rsidP="005274F7">
      <w:pPr>
        <w:spacing w:after="0"/>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14:paraId="2E446E25" w14:textId="77777777" w:rsidR="007D1E76" w:rsidRPr="00E74967" w:rsidRDefault="007D1E76" w:rsidP="005274F7">
      <w:pPr>
        <w:tabs>
          <w:tab w:val="left" w:leader="underscore" w:pos="9639"/>
        </w:tabs>
        <w:spacing w:after="0"/>
        <w:jc w:val="both"/>
        <w:rPr>
          <w:rFonts w:cs="Calibri"/>
        </w:rPr>
      </w:pPr>
    </w:p>
    <w:p w14:paraId="12424CAC" w14:textId="77777777" w:rsidR="007D1E76" w:rsidRPr="00E74967" w:rsidRDefault="007D1E76" w:rsidP="005274F7">
      <w:pPr>
        <w:tabs>
          <w:tab w:val="left" w:leader="underscore" w:pos="9639"/>
        </w:tabs>
        <w:spacing w:after="0"/>
        <w:jc w:val="both"/>
        <w:rPr>
          <w:rFonts w:cs="Calibri"/>
        </w:rPr>
      </w:pPr>
      <w:r w:rsidRPr="00E74967">
        <w:rPr>
          <w:rFonts w:cs="Calibri"/>
          <w:b/>
        </w:rPr>
        <w:t>f)</w:t>
      </w:r>
      <w:r w:rsidRPr="00E74967">
        <w:rPr>
          <w:rFonts w:cs="Calibri"/>
        </w:rPr>
        <w:t xml:space="preserve"> Provisiones: objetivo de su creación, monto y plazo:</w:t>
      </w:r>
    </w:p>
    <w:p w14:paraId="1484240D" w14:textId="77777777" w:rsidR="00036623" w:rsidRDefault="00036623" w:rsidP="005274F7">
      <w:pPr>
        <w:tabs>
          <w:tab w:val="left" w:leader="underscore" w:pos="9639"/>
        </w:tabs>
        <w:spacing w:after="0"/>
        <w:jc w:val="both"/>
        <w:rPr>
          <w:rFonts w:cs="Calibri"/>
        </w:rPr>
      </w:pPr>
    </w:p>
    <w:p w14:paraId="2C67B7BA" w14:textId="77777777" w:rsidR="00036623" w:rsidRPr="00FC3E53" w:rsidRDefault="00036623" w:rsidP="005274F7">
      <w:pPr>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22002C78" w14:textId="77777777" w:rsidR="007D1E76" w:rsidRPr="00E74967" w:rsidRDefault="007D1E76" w:rsidP="005274F7">
      <w:pPr>
        <w:tabs>
          <w:tab w:val="left" w:leader="underscore" w:pos="9639"/>
        </w:tabs>
        <w:spacing w:after="0"/>
        <w:jc w:val="both"/>
        <w:rPr>
          <w:rFonts w:cs="Calibri"/>
        </w:rPr>
      </w:pPr>
    </w:p>
    <w:p w14:paraId="7BB6BF86" w14:textId="77777777" w:rsidR="007D1E76" w:rsidRPr="00E74967" w:rsidRDefault="007D1E76" w:rsidP="005274F7">
      <w:pPr>
        <w:tabs>
          <w:tab w:val="left" w:leader="underscore" w:pos="9639"/>
        </w:tabs>
        <w:spacing w:after="0"/>
        <w:jc w:val="both"/>
        <w:rPr>
          <w:rFonts w:cs="Calibri"/>
        </w:rPr>
      </w:pPr>
      <w:r w:rsidRPr="00E74967">
        <w:rPr>
          <w:rFonts w:cs="Calibri"/>
          <w:b/>
        </w:rPr>
        <w:t>g)</w:t>
      </w:r>
      <w:r w:rsidRPr="00E74967">
        <w:rPr>
          <w:rFonts w:cs="Calibri"/>
        </w:rPr>
        <w:t xml:space="preserve"> Reservas: objetivo de su creación, monto y plazo:</w:t>
      </w:r>
    </w:p>
    <w:p w14:paraId="2CDE5FE8" w14:textId="77777777" w:rsidR="00036623" w:rsidRDefault="00036623" w:rsidP="005274F7">
      <w:pPr>
        <w:tabs>
          <w:tab w:val="left" w:leader="underscore" w:pos="9639"/>
        </w:tabs>
        <w:spacing w:after="0"/>
        <w:jc w:val="both"/>
        <w:rPr>
          <w:rFonts w:cs="Calibri"/>
        </w:rPr>
      </w:pPr>
    </w:p>
    <w:p w14:paraId="6A12143B" w14:textId="2E3F9F50" w:rsidR="00036623" w:rsidRPr="00FC3E53" w:rsidRDefault="00036623" w:rsidP="005274F7">
      <w:pPr>
        <w:jc w:val="both"/>
        <w:rPr>
          <w:rFonts w:ascii="Arial" w:hAnsi="Arial" w:cs="Arial"/>
          <w:sz w:val="24"/>
          <w:szCs w:val="24"/>
          <w:u w:val="single"/>
        </w:rPr>
      </w:pPr>
      <w:r>
        <w:rPr>
          <w:rFonts w:ascii="Arial" w:hAnsi="Arial" w:cs="Arial"/>
          <w:sz w:val="24"/>
          <w:szCs w:val="24"/>
          <w:u w:val="single"/>
        </w:rPr>
        <w:t>Se realizan reservas presupuestales para contabilizar los gastos</w:t>
      </w:r>
      <w:r w:rsidR="00D3392D">
        <w:rPr>
          <w:rFonts w:ascii="Arial" w:hAnsi="Arial" w:cs="Arial"/>
          <w:sz w:val="24"/>
          <w:szCs w:val="24"/>
          <w:u w:val="single"/>
        </w:rPr>
        <w:t>.</w:t>
      </w:r>
    </w:p>
    <w:p w14:paraId="529F0A2D" w14:textId="77777777" w:rsidR="007D1E76" w:rsidRPr="00E74967" w:rsidRDefault="007D1E76" w:rsidP="005274F7">
      <w:pPr>
        <w:tabs>
          <w:tab w:val="left" w:leader="underscore" w:pos="9639"/>
        </w:tabs>
        <w:spacing w:after="0"/>
        <w:jc w:val="both"/>
        <w:rPr>
          <w:rFonts w:cs="Calibri"/>
        </w:rPr>
      </w:pPr>
    </w:p>
    <w:p w14:paraId="3A564C05" w14:textId="77777777" w:rsidR="007D1E76" w:rsidRPr="00E74967" w:rsidRDefault="007D1E76" w:rsidP="005274F7">
      <w:pPr>
        <w:tabs>
          <w:tab w:val="left" w:leader="underscore" w:pos="9639"/>
        </w:tabs>
        <w:spacing w:after="0"/>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AF3655" w14:textId="77777777" w:rsidR="00036623" w:rsidRDefault="00036623" w:rsidP="005274F7">
      <w:pPr>
        <w:tabs>
          <w:tab w:val="left" w:leader="underscore" w:pos="9639"/>
        </w:tabs>
        <w:spacing w:after="0"/>
        <w:jc w:val="both"/>
        <w:rPr>
          <w:rFonts w:cs="Calibri"/>
        </w:rPr>
      </w:pPr>
    </w:p>
    <w:p w14:paraId="2BC41E8A" w14:textId="5923A0DC" w:rsidR="00036623" w:rsidRDefault="00036623"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No hay cambios</w:t>
      </w:r>
      <w:r w:rsidR="00D3392D">
        <w:rPr>
          <w:rFonts w:ascii="Arial" w:hAnsi="Arial" w:cs="Arial"/>
          <w:sz w:val="24"/>
          <w:szCs w:val="24"/>
          <w:u w:val="single"/>
        </w:rPr>
        <w:t>.</w:t>
      </w:r>
    </w:p>
    <w:p w14:paraId="1DD46ECC" w14:textId="77777777" w:rsidR="007D1E76" w:rsidRPr="00E74967" w:rsidRDefault="007D1E76" w:rsidP="005274F7">
      <w:pPr>
        <w:tabs>
          <w:tab w:val="left" w:leader="underscore" w:pos="9639"/>
        </w:tabs>
        <w:spacing w:after="0"/>
        <w:jc w:val="both"/>
        <w:rPr>
          <w:rFonts w:cs="Calibri"/>
        </w:rPr>
      </w:pPr>
    </w:p>
    <w:p w14:paraId="79AB59B4" w14:textId="77777777" w:rsidR="007D1E76" w:rsidRPr="00E74967" w:rsidRDefault="007D1E76" w:rsidP="005274F7">
      <w:pPr>
        <w:tabs>
          <w:tab w:val="left" w:leader="underscore" w:pos="9639"/>
        </w:tabs>
        <w:spacing w:after="0"/>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D9D472D" w14:textId="77777777" w:rsidR="00036623" w:rsidRDefault="00036623" w:rsidP="005274F7">
      <w:pPr>
        <w:tabs>
          <w:tab w:val="left" w:leader="underscore" w:pos="9639"/>
        </w:tabs>
        <w:spacing w:after="0"/>
        <w:jc w:val="both"/>
        <w:rPr>
          <w:rFonts w:cs="Calibri"/>
        </w:rPr>
      </w:pPr>
    </w:p>
    <w:p w14:paraId="55C05BB1" w14:textId="4CF2EBA3" w:rsidR="007D1E76" w:rsidRDefault="00036623"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r w:rsidR="00D3392D">
        <w:rPr>
          <w:rFonts w:ascii="Arial" w:hAnsi="Arial" w:cs="Arial"/>
          <w:sz w:val="24"/>
          <w:szCs w:val="24"/>
          <w:u w:val="single"/>
        </w:rPr>
        <w:t>.</w:t>
      </w:r>
    </w:p>
    <w:p w14:paraId="4F8A870B" w14:textId="77777777" w:rsidR="00036623" w:rsidRPr="00E74967" w:rsidRDefault="00036623" w:rsidP="005274F7">
      <w:pPr>
        <w:tabs>
          <w:tab w:val="left" w:leader="underscore" w:pos="9639"/>
        </w:tabs>
        <w:spacing w:after="0"/>
        <w:jc w:val="both"/>
        <w:rPr>
          <w:rFonts w:cs="Calibri"/>
        </w:rPr>
      </w:pPr>
    </w:p>
    <w:p w14:paraId="106B8080" w14:textId="77777777" w:rsidR="007D1E76" w:rsidRPr="00E74967" w:rsidRDefault="007D1E76" w:rsidP="005274F7">
      <w:pPr>
        <w:tabs>
          <w:tab w:val="left" w:leader="underscore" w:pos="9639"/>
        </w:tabs>
        <w:spacing w:after="0"/>
        <w:jc w:val="both"/>
        <w:rPr>
          <w:rFonts w:cs="Calibri"/>
        </w:rPr>
      </w:pPr>
      <w:r w:rsidRPr="00E74967">
        <w:rPr>
          <w:rFonts w:cs="Calibri"/>
          <w:b/>
        </w:rPr>
        <w:t>j)</w:t>
      </w:r>
      <w:r w:rsidRPr="00E74967">
        <w:rPr>
          <w:rFonts w:cs="Calibri"/>
        </w:rPr>
        <w:t xml:space="preserve"> Depuración y cancelación de saldos:</w:t>
      </w:r>
    </w:p>
    <w:p w14:paraId="072D5744" w14:textId="77777777" w:rsidR="00036623" w:rsidRDefault="00036623" w:rsidP="005274F7">
      <w:pPr>
        <w:tabs>
          <w:tab w:val="left" w:leader="underscore" w:pos="9639"/>
        </w:tabs>
        <w:spacing w:after="0"/>
        <w:jc w:val="both"/>
        <w:rPr>
          <w:rFonts w:cs="Calibri"/>
        </w:rPr>
      </w:pPr>
    </w:p>
    <w:p w14:paraId="717977FC" w14:textId="078AF7A4" w:rsidR="00036623" w:rsidRDefault="00D3392D" w:rsidP="005274F7">
      <w:pPr>
        <w:jc w:val="both"/>
        <w:rPr>
          <w:rFonts w:ascii="Arial" w:hAnsi="Arial" w:cs="Arial"/>
          <w:sz w:val="24"/>
          <w:szCs w:val="24"/>
          <w:u w:val="single"/>
        </w:rPr>
      </w:pPr>
      <w:r>
        <w:rPr>
          <w:rFonts w:ascii="Arial" w:hAnsi="Arial" w:cs="Arial"/>
          <w:sz w:val="24"/>
          <w:szCs w:val="24"/>
          <w:u w:val="single"/>
        </w:rPr>
        <w:t>N</w:t>
      </w:r>
      <w:r w:rsidRPr="00FC3E53">
        <w:rPr>
          <w:rFonts w:ascii="Arial" w:hAnsi="Arial" w:cs="Arial"/>
          <w:sz w:val="24"/>
          <w:szCs w:val="24"/>
          <w:u w:val="single"/>
        </w:rPr>
        <w:t>o hubo depuración</w:t>
      </w:r>
      <w:r>
        <w:rPr>
          <w:rFonts w:ascii="Arial" w:hAnsi="Arial" w:cs="Arial"/>
          <w:sz w:val="24"/>
          <w:szCs w:val="24"/>
          <w:u w:val="single"/>
        </w:rPr>
        <w:t>.</w:t>
      </w:r>
    </w:p>
    <w:p w14:paraId="1008A8A4" w14:textId="77777777" w:rsidR="00E00323" w:rsidRPr="00E74967" w:rsidRDefault="00E00323" w:rsidP="005274F7">
      <w:pPr>
        <w:tabs>
          <w:tab w:val="left" w:leader="underscore" w:pos="9639"/>
        </w:tabs>
        <w:spacing w:after="0"/>
        <w:jc w:val="both"/>
        <w:rPr>
          <w:rFonts w:cs="Calibri"/>
        </w:rPr>
      </w:pPr>
    </w:p>
    <w:p w14:paraId="373A53C6" w14:textId="719D530A" w:rsidR="007D1E76" w:rsidRDefault="00D3392D" w:rsidP="005274F7">
      <w:pPr>
        <w:pStyle w:val="Ttulo2"/>
        <w:rPr>
          <w:rFonts w:asciiTheme="minorHAnsi" w:hAnsiTheme="minorHAnsi" w:cstheme="minorHAnsi"/>
          <w:b/>
          <w:color w:val="auto"/>
          <w:sz w:val="22"/>
        </w:rPr>
      </w:pPr>
      <w:bookmarkStart w:id="6" w:name="_Toc137545526"/>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6"/>
    </w:p>
    <w:p w14:paraId="05D5D810" w14:textId="77777777" w:rsidR="00D3392D" w:rsidRDefault="00D3392D" w:rsidP="005274F7">
      <w:pPr>
        <w:rPr>
          <w:rFonts w:asciiTheme="minorHAnsi" w:hAnsiTheme="minorHAnsi" w:cstheme="minorHAnsi"/>
          <w:sz w:val="24"/>
          <w:szCs w:val="24"/>
        </w:rPr>
      </w:pPr>
    </w:p>
    <w:p w14:paraId="53ACB59C" w14:textId="23FEECF9" w:rsidR="00036623" w:rsidRDefault="00036623" w:rsidP="005274F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3C003FB" w14:textId="77777777" w:rsidR="00036623" w:rsidRPr="00C53FB1" w:rsidRDefault="00036623" w:rsidP="005274F7">
      <w:r>
        <w:rPr>
          <w:rFonts w:asciiTheme="minorHAnsi" w:hAnsiTheme="minorHAnsi" w:cstheme="minorHAnsi"/>
          <w:sz w:val="24"/>
          <w:szCs w:val="24"/>
        </w:rPr>
        <w:t>Este organismo no cuenta con inversiones, activos o moneda extranjera.</w:t>
      </w:r>
    </w:p>
    <w:p w14:paraId="07127B61" w14:textId="77777777" w:rsidR="007D1E76" w:rsidRPr="00E74967" w:rsidRDefault="007D1E76" w:rsidP="005274F7">
      <w:pPr>
        <w:tabs>
          <w:tab w:val="left" w:leader="underscore" w:pos="9639"/>
        </w:tabs>
        <w:spacing w:after="0"/>
        <w:jc w:val="both"/>
        <w:rPr>
          <w:rFonts w:cs="Calibri"/>
        </w:rPr>
      </w:pPr>
    </w:p>
    <w:p w14:paraId="6B13E412" w14:textId="77777777" w:rsidR="007D1E76" w:rsidRPr="00E74967" w:rsidRDefault="007D1E76" w:rsidP="005274F7">
      <w:pPr>
        <w:tabs>
          <w:tab w:val="left" w:leader="underscore" w:pos="9639"/>
        </w:tabs>
        <w:spacing w:after="0"/>
        <w:jc w:val="both"/>
        <w:rPr>
          <w:rFonts w:cs="Calibri"/>
        </w:rPr>
      </w:pPr>
      <w:r w:rsidRPr="00E74967">
        <w:rPr>
          <w:rFonts w:cs="Calibri"/>
        </w:rPr>
        <w:lastRenderedPageBreak/>
        <w:t>Se informará sobre:</w:t>
      </w:r>
    </w:p>
    <w:p w14:paraId="75216A57" w14:textId="77777777" w:rsidR="007D1E76" w:rsidRPr="00E74967" w:rsidRDefault="007D1E76" w:rsidP="005274F7">
      <w:pPr>
        <w:tabs>
          <w:tab w:val="left" w:leader="underscore" w:pos="9639"/>
        </w:tabs>
        <w:spacing w:after="0"/>
        <w:jc w:val="both"/>
        <w:rPr>
          <w:rFonts w:cs="Calibri"/>
        </w:rPr>
      </w:pPr>
    </w:p>
    <w:p w14:paraId="1DF989B6" w14:textId="77777777"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Activos en moneda extranjera:</w:t>
      </w:r>
    </w:p>
    <w:p w14:paraId="0924D992" w14:textId="77777777" w:rsidR="00036623" w:rsidRDefault="00036623" w:rsidP="005274F7">
      <w:pPr>
        <w:tabs>
          <w:tab w:val="left" w:leader="underscore" w:pos="9639"/>
        </w:tabs>
        <w:spacing w:after="0"/>
        <w:jc w:val="both"/>
        <w:rPr>
          <w:rFonts w:cs="Calibri"/>
        </w:rPr>
      </w:pPr>
    </w:p>
    <w:p w14:paraId="65BB7055" w14:textId="559648FE" w:rsidR="00036623" w:rsidRPr="005274F7" w:rsidRDefault="00036623"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No contamos</w:t>
      </w:r>
      <w:r w:rsidR="00D3392D">
        <w:rPr>
          <w:rFonts w:ascii="Arial" w:hAnsi="Arial" w:cs="Arial"/>
          <w:sz w:val="24"/>
          <w:szCs w:val="24"/>
          <w:u w:val="single"/>
        </w:rPr>
        <w:t>.</w:t>
      </w:r>
    </w:p>
    <w:p w14:paraId="62D152DB" w14:textId="77777777" w:rsidR="007D1E76" w:rsidRPr="00E74967" w:rsidRDefault="007D1E76" w:rsidP="005274F7">
      <w:pPr>
        <w:tabs>
          <w:tab w:val="left" w:leader="underscore" w:pos="9639"/>
        </w:tabs>
        <w:spacing w:after="0"/>
        <w:jc w:val="both"/>
        <w:rPr>
          <w:rFonts w:cs="Calibri"/>
        </w:rPr>
      </w:pPr>
    </w:p>
    <w:p w14:paraId="13647D91"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Pasivos en moneda extranjera:</w:t>
      </w:r>
    </w:p>
    <w:p w14:paraId="1131EDA2" w14:textId="77777777" w:rsidR="00036623" w:rsidRDefault="00036623" w:rsidP="005274F7">
      <w:pPr>
        <w:tabs>
          <w:tab w:val="left" w:leader="underscore" w:pos="9639"/>
        </w:tabs>
        <w:spacing w:after="0"/>
        <w:jc w:val="both"/>
        <w:rPr>
          <w:rFonts w:cs="Calibri"/>
        </w:rPr>
      </w:pPr>
    </w:p>
    <w:p w14:paraId="43761E0B" w14:textId="7ACBE68C" w:rsidR="00036623" w:rsidRPr="005274F7" w:rsidRDefault="00036623"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No contamos con pasivos en moneda extranjera</w:t>
      </w:r>
      <w:r w:rsidR="00D3392D">
        <w:rPr>
          <w:rFonts w:ascii="Arial" w:hAnsi="Arial" w:cs="Arial"/>
          <w:sz w:val="24"/>
          <w:szCs w:val="24"/>
          <w:u w:val="single"/>
        </w:rPr>
        <w:t>.</w:t>
      </w:r>
    </w:p>
    <w:p w14:paraId="256B5CB2" w14:textId="77777777" w:rsidR="007D1E76" w:rsidRPr="00E74967" w:rsidRDefault="007D1E76" w:rsidP="005274F7">
      <w:pPr>
        <w:tabs>
          <w:tab w:val="left" w:leader="underscore" w:pos="9639"/>
        </w:tabs>
        <w:spacing w:after="0"/>
        <w:jc w:val="both"/>
        <w:rPr>
          <w:rFonts w:cs="Calibri"/>
        </w:rPr>
      </w:pPr>
    </w:p>
    <w:p w14:paraId="22CFE432" w14:textId="77777777" w:rsidR="007D1E76" w:rsidRPr="00E74967" w:rsidRDefault="007D1E76" w:rsidP="005274F7">
      <w:pPr>
        <w:tabs>
          <w:tab w:val="left" w:leader="underscore" w:pos="9639"/>
        </w:tabs>
        <w:spacing w:after="0"/>
        <w:jc w:val="both"/>
        <w:rPr>
          <w:rFonts w:cs="Calibri"/>
        </w:rPr>
      </w:pPr>
      <w:r w:rsidRPr="00E74967">
        <w:rPr>
          <w:rFonts w:cs="Calibri"/>
          <w:b/>
        </w:rPr>
        <w:t xml:space="preserve">c) </w:t>
      </w:r>
      <w:r w:rsidRPr="00E74967">
        <w:rPr>
          <w:rFonts w:cs="Calibri"/>
        </w:rPr>
        <w:t>Posición en moneda extranjera:</w:t>
      </w:r>
    </w:p>
    <w:p w14:paraId="1C72093D" w14:textId="77777777" w:rsidR="00036623" w:rsidRDefault="00036623" w:rsidP="005274F7">
      <w:pPr>
        <w:tabs>
          <w:tab w:val="left" w:leader="underscore" w:pos="9639"/>
        </w:tabs>
        <w:spacing w:after="0"/>
        <w:jc w:val="both"/>
        <w:rPr>
          <w:rFonts w:cs="Calibri"/>
        </w:rPr>
      </w:pPr>
    </w:p>
    <w:p w14:paraId="5DD9300A" w14:textId="182E7D9A" w:rsidR="00036623" w:rsidRPr="005274F7" w:rsidRDefault="00036623"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No procede</w:t>
      </w:r>
      <w:r w:rsidR="00D3392D">
        <w:rPr>
          <w:rFonts w:ascii="Arial" w:hAnsi="Arial" w:cs="Arial"/>
          <w:sz w:val="24"/>
          <w:szCs w:val="24"/>
          <w:u w:val="single"/>
        </w:rPr>
        <w:t>.</w:t>
      </w:r>
    </w:p>
    <w:p w14:paraId="7014E964" w14:textId="77777777" w:rsidR="007D1E76" w:rsidRPr="00E74967" w:rsidRDefault="007D1E76" w:rsidP="005274F7">
      <w:pPr>
        <w:tabs>
          <w:tab w:val="left" w:leader="underscore" w:pos="9639"/>
        </w:tabs>
        <w:spacing w:after="0"/>
        <w:jc w:val="both"/>
        <w:rPr>
          <w:rFonts w:cs="Calibri"/>
        </w:rPr>
      </w:pPr>
    </w:p>
    <w:p w14:paraId="6D4A8189" w14:textId="77777777" w:rsidR="007D1E76" w:rsidRPr="00E74967" w:rsidRDefault="007D1E76" w:rsidP="005274F7">
      <w:pPr>
        <w:tabs>
          <w:tab w:val="left" w:leader="underscore" w:pos="9639"/>
        </w:tabs>
        <w:spacing w:after="0"/>
        <w:jc w:val="both"/>
        <w:rPr>
          <w:rFonts w:cs="Calibri"/>
        </w:rPr>
      </w:pPr>
      <w:r w:rsidRPr="00E74967">
        <w:rPr>
          <w:rFonts w:cs="Calibri"/>
          <w:b/>
        </w:rPr>
        <w:t>d)</w:t>
      </w:r>
      <w:r w:rsidRPr="00E74967">
        <w:rPr>
          <w:rFonts w:cs="Calibri"/>
        </w:rPr>
        <w:t xml:space="preserve"> Tipo de cambio:</w:t>
      </w:r>
    </w:p>
    <w:p w14:paraId="5E58474C" w14:textId="77777777" w:rsidR="00036623" w:rsidRDefault="00036623" w:rsidP="005274F7">
      <w:pPr>
        <w:tabs>
          <w:tab w:val="left" w:leader="underscore" w:pos="9639"/>
        </w:tabs>
        <w:spacing w:after="0"/>
        <w:jc w:val="both"/>
        <w:rPr>
          <w:rFonts w:cs="Calibri"/>
        </w:rPr>
      </w:pPr>
    </w:p>
    <w:p w14:paraId="7BB4296A" w14:textId="54DD0864" w:rsidR="00036623" w:rsidRPr="005274F7" w:rsidRDefault="00036623"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No procede</w:t>
      </w:r>
      <w:r w:rsidR="00D3392D">
        <w:rPr>
          <w:rFonts w:ascii="Arial" w:hAnsi="Arial" w:cs="Arial"/>
          <w:sz w:val="24"/>
          <w:szCs w:val="24"/>
          <w:u w:val="single"/>
        </w:rPr>
        <w:t>.</w:t>
      </w:r>
    </w:p>
    <w:p w14:paraId="49A5BC8C" w14:textId="77777777" w:rsidR="007D1E76" w:rsidRPr="00E74967" w:rsidRDefault="007D1E76" w:rsidP="005274F7">
      <w:pPr>
        <w:tabs>
          <w:tab w:val="left" w:leader="underscore" w:pos="9639"/>
        </w:tabs>
        <w:spacing w:after="0"/>
        <w:jc w:val="both"/>
        <w:rPr>
          <w:rFonts w:cs="Calibri"/>
        </w:rPr>
      </w:pPr>
    </w:p>
    <w:p w14:paraId="763F1635" w14:textId="77777777" w:rsidR="007D1E76" w:rsidRPr="00E74967" w:rsidRDefault="007D1E76" w:rsidP="005274F7">
      <w:pPr>
        <w:tabs>
          <w:tab w:val="left" w:leader="underscore" w:pos="9639"/>
        </w:tabs>
        <w:spacing w:after="0"/>
        <w:jc w:val="both"/>
        <w:rPr>
          <w:rFonts w:cs="Calibri"/>
        </w:rPr>
      </w:pPr>
      <w:r w:rsidRPr="00E74967">
        <w:rPr>
          <w:rFonts w:cs="Calibri"/>
          <w:b/>
        </w:rPr>
        <w:t xml:space="preserve">e) </w:t>
      </w:r>
      <w:r w:rsidRPr="00E74967">
        <w:rPr>
          <w:rFonts w:cs="Calibri"/>
        </w:rPr>
        <w:t>Equivalente en moneda nacional:</w:t>
      </w:r>
    </w:p>
    <w:p w14:paraId="6D43D6CD" w14:textId="77777777" w:rsidR="00036623" w:rsidRDefault="00036623" w:rsidP="005274F7">
      <w:pPr>
        <w:tabs>
          <w:tab w:val="left" w:leader="underscore" w:pos="9639"/>
        </w:tabs>
        <w:spacing w:after="0"/>
        <w:jc w:val="both"/>
        <w:rPr>
          <w:rFonts w:cs="Calibri"/>
        </w:rPr>
      </w:pPr>
    </w:p>
    <w:p w14:paraId="5E9477DF" w14:textId="5B70ECC6" w:rsidR="00036623" w:rsidRPr="005274F7" w:rsidRDefault="00036623"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No procede</w:t>
      </w:r>
      <w:r w:rsidR="00D3392D">
        <w:rPr>
          <w:rFonts w:ascii="Arial" w:hAnsi="Arial" w:cs="Arial"/>
          <w:sz w:val="24"/>
          <w:szCs w:val="24"/>
          <w:u w:val="single"/>
        </w:rPr>
        <w:t>.</w:t>
      </w:r>
    </w:p>
    <w:p w14:paraId="00C79A88" w14:textId="77777777" w:rsidR="007D1E76" w:rsidRPr="00E74967" w:rsidRDefault="007D1E76" w:rsidP="005274F7">
      <w:pPr>
        <w:tabs>
          <w:tab w:val="left" w:leader="underscore" w:pos="9639"/>
        </w:tabs>
        <w:spacing w:after="0"/>
        <w:jc w:val="both"/>
        <w:rPr>
          <w:rFonts w:cs="Calibri"/>
        </w:rPr>
      </w:pPr>
    </w:p>
    <w:p w14:paraId="047FF1D5" w14:textId="77777777" w:rsidR="007D1E76" w:rsidRPr="00E74967" w:rsidRDefault="007D1E76" w:rsidP="005274F7">
      <w:pPr>
        <w:tabs>
          <w:tab w:val="left" w:leader="underscore" w:pos="9639"/>
        </w:tabs>
        <w:spacing w:after="0"/>
        <w:jc w:val="both"/>
        <w:rPr>
          <w:rFonts w:cs="Calibri"/>
        </w:rPr>
      </w:pPr>
      <w:r w:rsidRPr="00E74967">
        <w:rPr>
          <w:rFonts w:cs="Calibri"/>
        </w:rPr>
        <w:t>Lo anterior por cada tipo de moneda extranjera que se encuentre en los rubros de activo y pasivo.</w:t>
      </w:r>
    </w:p>
    <w:p w14:paraId="3B6D221E" w14:textId="77777777" w:rsidR="007D1E76" w:rsidRPr="00E74967" w:rsidRDefault="007D1E76" w:rsidP="005274F7">
      <w:pPr>
        <w:tabs>
          <w:tab w:val="left" w:leader="underscore" w:pos="9639"/>
        </w:tabs>
        <w:spacing w:after="0"/>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4C29E8A" w14:textId="77777777" w:rsidR="007D1E76" w:rsidRPr="00E74967" w:rsidRDefault="007D1E76" w:rsidP="005274F7">
      <w:pPr>
        <w:tabs>
          <w:tab w:val="left" w:leader="underscore" w:pos="9639"/>
        </w:tabs>
        <w:spacing w:after="0"/>
        <w:jc w:val="both"/>
        <w:rPr>
          <w:rFonts w:cs="Calibri"/>
        </w:rPr>
      </w:pPr>
    </w:p>
    <w:p w14:paraId="1EA77214" w14:textId="4B95D6FE" w:rsidR="007D1E76" w:rsidRPr="000C3365" w:rsidRDefault="00D3392D" w:rsidP="005274F7">
      <w:pPr>
        <w:pStyle w:val="Ttulo2"/>
        <w:rPr>
          <w:rFonts w:asciiTheme="minorHAnsi" w:hAnsiTheme="minorHAnsi" w:cstheme="minorHAnsi"/>
          <w:b/>
          <w:color w:val="auto"/>
          <w:sz w:val="22"/>
        </w:rPr>
      </w:pPr>
      <w:bookmarkStart w:id="7" w:name="_Toc137545527"/>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7"/>
    </w:p>
    <w:p w14:paraId="18D02EBA" w14:textId="77777777" w:rsidR="007D1E76" w:rsidRPr="00E74967" w:rsidRDefault="007D1E76" w:rsidP="005274F7">
      <w:pPr>
        <w:tabs>
          <w:tab w:val="left" w:leader="underscore" w:pos="9639"/>
        </w:tabs>
        <w:spacing w:after="0"/>
        <w:jc w:val="both"/>
        <w:rPr>
          <w:rFonts w:cs="Calibri"/>
        </w:rPr>
      </w:pPr>
    </w:p>
    <w:p w14:paraId="059D57A9" w14:textId="77777777" w:rsidR="007D1E76" w:rsidRPr="00E74967" w:rsidRDefault="007D1E76" w:rsidP="005274F7">
      <w:pPr>
        <w:tabs>
          <w:tab w:val="left" w:leader="underscore" w:pos="9639"/>
        </w:tabs>
        <w:spacing w:after="0"/>
        <w:jc w:val="both"/>
        <w:rPr>
          <w:rFonts w:cs="Calibri"/>
        </w:rPr>
      </w:pPr>
      <w:r w:rsidRPr="00E74967">
        <w:rPr>
          <w:rFonts w:cs="Calibri"/>
        </w:rPr>
        <w:t>Debe mostrar la siguien</w:t>
      </w:r>
      <w:r w:rsidR="00E00323" w:rsidRPr="00E74967">
        <w:rPr>
          <w:rFonts w:cs="Calibri"/>
        </w:rPr>
        <w:t>te información:</w:t>
      </w:r>
    </w:p>
    <w:p w14:paraId="0038A9D1" w14:textId="77777777" w:rsidR="007D1E76" w:rsidRPr="00E74967" w:rsidRDefault="007D1E76" w:rsidP="005274F7">
      <w:pPr>
        <w:tabs>
          <w:tab w:val="left" w:leader="underscore" w:pos="9639"/>
        </w:tabs>
        <w:spacing w:after="0"/>
        <w:jc w:val="both"/>
        <w:rPr>
          <w:rFonts w:cs="Calibri"/>
        </w:rPr>
      </w:pPr>
    </w:p>
    <w:p w14:paraId="18D76BFA" w14:textId="2D5EB6FA"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w:t>
      </w:r>
      <w:r w:rsidR="00D3392D">
        <w:t>Vida útil, porcentajes de depreciación y amortización utilizados en los diferentes tipos de activos, o el importe de las pérdidas por deterioro reconocidas:</w:t>
      </w:r>
    </w:p>
    <w:p w14:paraId="1B562061" w14:textId="77777777" w:rsidR="00036623" w:rsidRDefault="00036623" w:rsidP="005274F7">
      <w:pPr>
        <w:tabs>
          <w:tab w:val="left" w:leader="underscore" w:pos="9639"/>
        </w:tabs>
        <w:spacing w:after="0"/>
        <w:jc w:val="both"/>
        <w:rPr>
          <w:rFonts w:cs="Calibri"/>
        </w:rPr>
      </w:pPr>
    </w:p>
    <w:p w14:paraId="5224E0D1" w14:textId="7C346434" w:rsidR="007D1E76" w:rsidRDefault="00036623"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Se realizará depreciación anual</w:t>
      </w:r>
      <w:r w:rsidR="00D3392D">
        <w:rPr>
          <w:rFonts w:ascii="Arial" w:hAnsi="Arial" w:cs="Arial"/>
          <w:sz w:val="24"/>
          <w:szCs w:val="24"/>
          <w:u w:val="single"/>
        </w:rPr>
        <w:t xml:space="preserve"> en línea.</w:t>
      </w:r>
    </w:p>
    <w:p w14:paraId="6BD18B17" w14:textId="77777777" w:rsidR="00036623" w:rsidRPr="00E74967" w:rsidRDefault="00036623" w:rsidP="005274F7">
      <w:pPr>
        <w:tabs>
          <w:tab w:val="left" w:leader="underscore" w:pos="9639"/>
        </w:tabs>
        <w:spacing w:after="0"/>
        <w:jc w:val="both"/>
        <w:rPr>
          <w:rFonts w:cs="Calibri"/>
        </w:rPr>
      </w:pPr>
    </w:p>
    <w:p w14:paraId="60D1D10A" w14:textId="621ECDAD"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w:t>
      </w:r>
      <w:r w:rsidR="00D3392D">
        <w:t>Cambios en el porcentaje de depreciación y amortización y en el valor de los activos ocasionado por deterioro:</w:t>
      </w:r>
    </w:p>
    <w:p w14:paraId="6C4D44D2" w14:textId="77777777" w:rsidR="00036623" w:rsidRDefault="00036623" w:rsidP="005274F7">
      <w:pPr>
        <w:tabs>
          <w:tab w:val="left" w:leader="underscore" w:pos="9639"/>
        </w:tabs>
        <w:spacing w:after="0"/>
        <w:jc w:val="both"/>
        <w:rPr>
          <w:rFonts w:cs="Calibri"/>
        </w:rPr>
      </w:pPr>
    </w:p>
    <w:p w14:paraId="6B562479" w14:textId="77777777" w:rsidR="00036623" w:rsidRDefault="00036623"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No tenemos cambios.</w:t>
      </w:r>
    </w:p>
    <w:p w14:paraId="62C21D48" w14:textId="77777777" w:rsidR="007D1E76" w:rsidRPr="00E74967" w:rsidRDefault="007D1E76" w:rsidP="005274F7">
      <w:pPr>
        <w:tabs>
          <w:tab w:val="left" w:leader="underscore" w:pos="9639"/>
        </w:tabs>
        <w:spacing w:after="0"/>
        <w:jc w:val="both"/>
        <w:rPr>
          <w:rFonts w:cs="Calibri"/>
        </w:rPr>
      </w:pPr>
    </w:p>
    <w:p w14:paraId="4BEA3F94" w14:textId="77777777" w:rsidR="007D1E76" w:rsidRPr="00E74967" w:rsidRDefault="007D1E76" w:rsidP="005274F7">
      <w:pPr>
        <w:tabs>
          <w:tab w:val="left" w:leader="underscore" w:pos="9639"/>
        </w:tabs>
        <w:spacing w:after="0"/>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495E43C" w14:textId="77777777" w:rsidR="00036623" w:rsidRDefault="00036623" w:rsidP="005274F7">
      <w:pPr>
        <w:tabs>
          <w:tab w:val="left" w:leader="underscore" w:pos="9639"/>
        </w:tabs>
        <w:spacing w:after="0"/>
        <w:jc w:val="both"/>
        <w:rPr>
          <w:rFonts w:cs="Calibri"/>
        </w:rPr>
      </w:pPr>
    </w:p>
    <w:p w14:paraId="3561B8F9" w14:textId="4782F28E" w:rsidR="00036623"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00036623" w:rsidRPr="00FC3E53">
        <w:rPr>
          <w:rFonts w:ascii="Arial" w:hAnsi="Arial" w:cs="Arial"/>
          <w:sz w:val="24"/>
          <w:szCs w:val="24"/>
          <w:u w:val="single"/>
        </w:rPr>
        <w:t>.</w:t>
      </w:r>
    </w:p>
    <w:p w14:paraId="010206F2" w14:textId="77777777" w:rsidR="007D1E76" w:rsidRPr="00E74967" w:rsidRDefault="007D1E76" w:rsidP="005274F7">
      <w:pPr>
        <w:tabs>
          <w:tab w:val="left" w:leader="underscore" w:pos="9639"/>
        </w:tabs>
        <w:spacing w:after="0"/>
        <w:jc w:val="both"/>
        <w:rPr>
          <w:rFonts w:cs="Calibri"/>
        </w:rPr>
      </w:pPr>
    </w:p>
    <w:p w14:paraId="45D12743" w14:textId="77777777" w:rsidR="007D1E76" w:rsidRPr="00E74967" w:rsidRDefault="007D1E76" w:rsidP="005274F7">
      <w:pPr>
        <w:tabs>
          <w:tab w:val="left" w:leader="underscore" w:pos="9639"/>
        </w:tabs>
        <w:spacing w:after="0"/>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3DC1BC6" w14:textId="77777777" w:rsidR="00036623" w:rsidRDefault="00036623" w:rsidP="005274F7">
      <w:pPr>
        <w:tabs>
          <w:tab w:val="left" w:leader="underscore" w:pos="9639"/>
        </w:tabs>
        <w:spacing w:after="0"/>
        <w:jc w:val="both"/>
        <w:rPr>
          <w:rFonts w:cs="Calibri"/>
        </w:rPr>
      </w:pPr>
    </w:p>
    <w:p w14:paraId="1BCA3631" w14:textId="77777777"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6E10B7D5" w14:textId="77777777" w:rsidR="007D1E76" w:rsidRPr="00E74967" w:rsidRDefault="007D1E76" w:rsidP="005274F7">
      <w:pPr>
        <w:tabs>
          <w:tab w:val="left" w:leader="underscore" w:pos="9639"/>
        </w:tabs>
        <w:spacing w:after="0"/>
        <w:jc w:val="both"/>
        <w:rPr>
          <w:rFonts w:cs="Calibri"/>
        </w:rPr>
      </w:pPr>
    </w:p>
    <w:p w14:paraId="126962D7" w14:textId="7B9CBDF4" w:rsidR="007D1E76" w:rsidRPr="00E74967" w:rsidRDefault="007D1E76" w:rsidP="005274F7">
      <w:pPr>
        <w:tabs>
          <w:tab w:val="left" w:leader="underscore" w:pos="9639"/>
        </w:tabs>
        <w:spacing w:after="0"/>
        <w:jc w:val="both"/>
        <w:rPr>
          <w:rFonts w:cs="Calibri"/>
        </w:rPr>
      </w:pPr>
      <w:r w:rsidRPr="00E74967">
        <w:rPr>
          <w:rFonts w:cs="Calibri"/>
          <w:b/>
        </w:rPr>
        <w:t xml:space="preserve">e) </w:t>
      </w:r>
      <w:r w:rsidRPr="00E74967">
        <w:rPr>
          <w:rFonts w:cs="Calibri"/>
        </w:rPr>
        <w:t>Valor en el ejercicio de los bienes construidos por la entidad:</w:t>
      </w:r>
    </w:p>
    <w:p w14:paraId="70017A57" w14:textId="77777777" w:rsidR="00036623" w:rsidRDefault="00036623" w:rsidP="005274F7">
      <w:pPr>
        <w:tabs>
          <w:tab w:val="left" w:leader="underscore" w:pos="9639"/>
        </w:tabs>
        <w:spacing w:after="0"/>
        <w:jc w:val="both"/>
        <w:rPr>
          <w:rFonts w:cs="Calibri"/>
        </w:rPr>
      </w:pPr>
    </w:p>
    <w:p w14:paraId="6B3A58E6" w14:textId="77777777"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5C8E6443" w14:textId="77777777" w:rsidR="007D1E76" w:rsidRPr="00E74967" w:rsidRDefault="007D1E76" w:rsidP="005274F7">
      <w:pPr>
        <w:tabs>
          <w:tab w:val="left" w:leader="underscore" w:pos="9639"/>
        </w:tabs>
        <w:spacing w:after="0"/>
        <w:jc w:val="both"/>
        <w:rPr>
          <w:rFonts w:cs="Calibri"/>
          <w:b/>
        </w:rPr>
      </w:pPr>
    </w:p>
    <w:p w14:paraId="5DA94118" w14:textId="77777777" w:rsidR="007D1E76" w:rsidRPr="00E74967" w:rsidRDefault="007D1E76" w:rsidP="005274F7">
      <w:pPr>
        <w:tabs>
          <w:tab w:val="left" w:leader="underscore" w:pos="9639"/>
        </w:tabs>
        <w:spacing w:after="0"/>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1331EFE" w14:textId="77777777" w:rsidR="00036623" w:rsidRDefault="00036623" w:rsidP="005274F7">
      <w:pPr>
        <w:tabs>
          <w:tab w:val="left" w:leader="underscore" w:pos="9639"/>
        </w:tabs>
        <w:spacing w:after="0"/>
        <w:jc w:val="both"/>
        <w:rPr>
          <w:rFonts w:cs="Calibri"/>
        </w:rPr>
      </w:pPr>
    </w:p>
    <w:p w14:paraId="6210ECAA" w14:textId="77777777"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5CC28CA0" w14:textId="77777777" w:rsidR="007D1E76" w:rsidRPr="00E74967" w:rsidRDefault="007D1E76" w:rsidP="005274F7">
      <w:pPr>
        <w:tabs>
          <w:tab w:val="left" w:leader="underscore" w:pos="9639"/>
        </w:tabs>
        <w:spacing w:after="0"/>
        <w:jc w:val="both"/>
        <w:rPr>
          <w:rFonts w:cs="Calibri"/>
        </w:rPr>
      </w:pPr>
    </w:p>
    <w:p w14:paraId="2E99CB2A" w14:textId="77777777" w:rsidR="007D1E76" w:rsidRPr="00E74967" w:rsidRDefault="007D1E76" w:rsidP="005274F7">
      <w:pPr>
        <w:tabs>
          <w:tab w:val="left" w:leader="underscore" w:pos="9639"/>
        </w:tabs>
        <w:spacing w:after="0"/>
        <w:jc w:val="both"/>
        <w:rPr>
          <w:rFonts w:cs="Calibri"/>
        </w:rPr>
      </w:pPr>
      <w:r w:rsidRPr="00E74967">
        <w:rPr>
          <w:rFonts w:cs="Calibri"/>
          <w:b/>
        </w:rPr>
        <w:t>g)</w:t>
      </w:r>
      <w:r w:rsidRPr="00E74967">
        <w:rPr>
          <w:rFonts w:cs="Calibri"/>
        </w:rPr>
        <w:t xml:space="preserve"> Desmantelamiento de Activos, procedimientos, implicaciones, efectos contables:</w:t>
      </w:r>
    </w:p>
    <w:p w14:paraId="5D13D975" w14:textId="77777777" w:rsidR="00036623" w:rsidRDefault="00036623" w:rsidP="005274F7">
      <w:pPr>
        <w:tabs>
          <w:tab w:val="left" w:leader="underscore" w:pos="9639"/>
        </w:tabs>
        <w:spacing w:after="0"/>
        <w:jc w:val="both"/>
        <w:rPr>
          <w:rFonts w:cs="Calibri"/>
        </w:rPr>
      </w:pPr>
    </w:p>
    <w:p w14:paraId="231981A7" w14:textId="77777777"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1A715D08" w14:textId="77777777" w:rsidR="007D1E76" w:rsidRPr="00E74967" w:rsidRDefault="007D1E76" w:rsidP="005274F7">
      <w:pPr>
        <w:tabs>
          <w:tab w:val="left" w:leader="underscore" w:pos="9639"/>
        </w:tabs>
        <w:spacing w:after="0"/>
        <w:jc w:val="both"/>
        <w:rPr>
          <w:rFonts w:cs="Calibri"/>
        </w:rPr>
      </w:pPr>
    </w:p>
    <w:p w14:paraId="0A0ABB4D" w14:textId="77777777" w:rsidR="007D1E76" w:rsidRPr="00E74967" w:rsidRDefault="007D1E76" w:rsidP="005274F7">
      <w:pPr>
        <w:tabs>
          <w:tab w:val="left" w:leader="underscore" w:pos="9639"/>
        </w:tabs>
        <w:spacing w:after="0"/>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8C01FB6" w14:textId="77777777" w:rsidR="00036623" w:rsidRDefault="00036623" w:rsidP="005274F7">
      <w:pPr>
        <w:tabs>
          <w:tab w:val="left" w:leader="underscore" w:pos="9639"/>
        </w:tabs>
        <w:spacing w:after="0"/>
        <w:jc w:val="both"/>
        <w:rPr>
          <w:rFonts w:cs="Calibri"/>
        </w:rPr>
      </w:pPr>
    </w:p>
    <w:p w14:paraId="1450B6F3" w14:textId="77777777"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139308C2" w14:textId="77777777" w:rsidR="005E231E" w:rsidRPr="00E74967" w:rsidRDefault="005E231E" w:rsidP="005274F7">
      <w:pPr>
        <w:tabs>
          <w:tab w:val="left" w:leader="underscore" w:pos="9639"/>
        </w:tabs>
        <w:spacing w:after="0"/>
        <w:jc w:val="both"/>
        <w:rPr>
          <w:rFonts w:cs="Calibri"/>
        </w:rPr>
      </w:pPr>
    </w:p>
    <w:p w14:paraId="0AC3AF61" w14:textId="77777777" w:rsidR="007D1E76" w:rsidRPr="00E74967" w:rsidRDefault="007D1E76" w:rsidP="005274F7">
      <w:pPr>
        <w:tabs>
          <w:tab w:val="left" w:leader="underscore" w:pos="9639"/>
        </w:tabs>
        <w:spacing w:after="0"/>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02BD8DC" w14:textId="77777777" w:rsidR="007D1E76" w:rsidRPr="00E74967" w:rsidRDefault="007D1E76" w:rsidP="005274F7">
      <w:pPr>
        <w:tabs>
          <w:tab w:val="left" w:leader="underscore" w:pos="9639"/>
        </w:tabs>
        <w:spacing w:after="0"/>
        <w:jc w:val="both"/>
        <w:rPr>
          <w:rFonts w:cs="Calibri"/>
        </w:rPr>
      </w:pPr>
    </w:p>
    <w:p w14:paraId="7D2B215F" w14:textId="77777777"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Inversiones en valores:</w:t>
      </w:r>
    </w:p>
    <w:p w14:paraId="7AAC3537" w14:textId="77777777" w:rsidR="00036623" w:rsidRDefault="00036623" w:rsidP="005274F7">
      <w:pPr>
        <w:tabs>
          <w:tab w:val="left" w:leader="underscore" w:pos="9639"/>
        </w:tabs>
        <w:spacing w:after="0"/>
        <w:jc w:val="both"/>
        <w:rPr>
          <w:rFonts w:cs="Calibri"/>
        </w:rPr>
      </w:pPr>
    </w:p>
    <w:p w14:paraId="36CE73EF" w14:textId="77777777" w:rsidR="008B6D5C" w:rsidRPr="00FC3E53" w:rsidRDefault="008B6D5C" w:rsidP="008B6D5C">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17B50711" w14:textId="77777777" w:rsidR="007D1E76" w:rsidRPr="00E74967" w:rsidRDefault="007D1E76" w:rsidP="005274F7">
      <w:pPr>
        <w:tabs>
          <w:tab w:val="left" w:leader="underscore" w:pos="9639"/>
        </w:tabs>
        <w:spacing w:after="0"/>
        <w:jc w:val="both"/>
        <w:rPr>
          <w:rFonts w:cs="Calibri"/>
        </w:rPr>
      </w:pPr>
    </w:p>
    <w:p w14:paraId="16DCD1C6"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Patrimonio de Organismos descentralizados de Control Presupuestario Indirecto:</w:t>
      </w:r>
    </w:p>
    <w:p w14:paraId="30684E0E" w14:textId="77777777" w:rsidR="00450927" w:rsidRDefault="00450927" w:rsidP="005274F7">
      <w:pPr>
        <w:tabs>
          <w:tab w:val="left" w:leader="underscore" w:pos="9639"/>
        </w:tabs>
        <w:spacing w:after="0"/>
        <w:jc w:val="both"/>
        <w:rPr>
          <w:rFonts w:cs="Calibri"/>
        </w:rPr>
      </w:pPr>
    </w:p>
    <w:p w14:paraId="03C8C85F" w14:textId="77777777"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5BC66C20" w14:textId="77777777" w:rsidR="007D1E76" w:rsidRPr="00E74967" w:rsidRDefault="007D1E76" w:rsidP="005274F7">
      <w:pPr>
        <w:tabs>
          <w:tab w:val="left" w:leader="underscore" w:pos="9639"/>
        </w:tabs>
        <w:spacing w:after="0"/>
        <w:jc w:val="both"/>
        <w:rPr>
          <w:rFonts w:cs="Calibri"/>
        </w:rPr>
      </w:pPr>
    </w:p>
    <w:p w14:paraId="662EDE17" w14:textId="77777777" w:rsidR="007D1E76" w:rsidRPr="00E74967" w:rsidRDefault="007D1E76" w:rsidP="005274F7">
      <w:pPr>
        <w:tabs>
          <w:tab w:val="left" w:leader="underscore" w:pos="9639"/>
        </w:tabs>
        <w:spacing w:after="0"/>
        <w:jc w:val="both"/>
        <w:rPr>
          <w:rFonts w:cs="Calibri"/>
        </w:rPr>
      </w:pPr>
      <w:r w:rsidRPr="00E74967">
        <w:rPr>
          <w:rFonts w:cs="Calibri"/>
          <w:b/>
        </w:rPr>
        <w:t>c)</w:t>
      </w:r>
      <w:r w:rsidRPr="00E74967">
        <w:rPr>
          <w:rFonts w:cs="Calibri"/>
        </w:rPr>
        <w:t xml:space="preserve"> Inversiones en empresas de participación mayoritaria:</w:t>
      </w:r>
    </w:p>
    <w:p w14:paraId="2F0B09B9" w14:textId="77777777" w:rsidR="00450927" w:rsidRDefault="00450927" w:rsidP="005274F7">
      <w:pPr>
        <w:tabs>
          <w:tab w:val="left" w:leader="underscore" w:pos="9639"/>
        </w:tabs>
        <w:spacing w:after="0"/>
        <w:jc w:val="both"/>
        <w:rPr>
          <w:rFonts w:cs="Calibri"/>
        </w:rPr>
      </w:pPr>
    </w:p>
    <w:p w14:paraId="5580D13A" w14:textId="77777777" w:rsidR="00450927" w:rsidRDefault="00450927" w:rsidP="005274F7">
      <w:pPr>
        <w:tabs>
          <w:tab w:val="left" w:leader="underscore" w:pos="9639"/>
        </w:tabs>
        <w:spacing w:after="0"/>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304B0CA" w14:textId="77777777" w:rsidR="005274F7" w:rsidRDefault="005274F7" w:rsidP="005274F7">
      <w:pPr>
        <w:spacing w:after="0"/>
        <w:jc w:val="both"/>
        <w:rPr>
          <w:rFonts w:ascii="Arial" w:hAnsi="Arial" w:cs="Arial"/>
          <w:sz w:val="24"/>
          <w:szCs w:val="24"/>
          <w:u w:val="single"/>
        </w:rPr>
      </w:pPr>
    </w:p>
    <w:p w14:paraId="54261500" w14:textId="6C95344F"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516B663F" w14:textId="77777777" w:rsidR="007D1E76" w:rsidRPr="00E74967" w:rsidRDefault="007D1E76" w:rsidP="005274F7">
      <w:pPr>
        <w:tabs>
          <w:tab w:val="left" w:leader="underscore" w:pos="9639"/>
        </w:tabs>
        <w:spacing w:after="0"/>
        <w:jc w:val="both"/>
        <w:rPr>
          <w:rFonts w:cs="Calibri"/>
        </w:rPr>
      </w:pPr>
    </w:p>
    <w:p w14:paraId="726E955B" w14:textId="7628D743" w:rsidR="008B6D5C" w:rsidRPr="008B6D5C" w:rsidRDefault="007D1E76" w:rsidP="008B6D5C">
      <w:pPr>
        <w:tabs>
          <w:tab w:val="left" w:leader="underscore" w:pos="9639"/>
        </w:tabs>
        <w:spacing w:after="0"/>
        <w:jc w:val="both"/>
        <w:rPr>
          <w:rFonts w:cs="Calibri"/>
        </w:rPr>
      </w:pPr>
      <w:r w:rsidRPr="00E74967">
        <w:rPr>
          <w:rFonts w:cs="Calibri"/>
          <w:b/>
        </w:rPr>
        <w:t>d)</w:t>
      </w:r>
      <w:r w:rsidRPr="00E74967">
        <w:rPr>
          <w:rFonts w:cs="Calibri"/>
        </w:rPr>
        <w:t xml:space="preserve"> Inversiones en empresas de participación minoritaria:</w:t>
      </w:r>
    </w:p>
    <w:p w14:paraId="597C4F3E" w14:textId="29146B3C"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lastRenderedPageBreak/>
        <w:t>Nada que manifestar</w:t>
      </w:r>
      <w:r w:rsidRPr="00FC3E53">
        <w:rPr>
          <w:rFonts w:ascii="Arial" w:hAnsi="Arial" w:cs="Arial"/>
          <w:sz w:val="24"/>
          <w:szCs w:val="24"/>
          <w:u w:val="single"/>
        </w:rPr>
        <w:t>.</w:t>
      </w:r>
    </w:p>
    <w:p w14:paraId="639B2263" w14:textId="77777777" w:rsidR="007D1E76" w:rsidRPr="00E74967" w:rsidRDefault="007D1E76" w:rsidP="005274F7">
      <w:pPr>
        <w:tabs>
          <w:tab w:val="left" w:leader="underscore" w:pos="9639"/>
        </w:tabs>
        <w:spacing w:after="0"/>
        <w:jc w:val="both"/>
        <w:rPr>
          <w:rFonts w:cs="Calibri"/>
        </w:rPr>
      </w:pPr>
    </w:p>
    <w:p w14:paraId="5183145E" w14:textId="77777777" w:rsidR="007D1E76" w:rsidRPr="00E74967" w:rsidRDefault="007D1E76" w:rsidP="005274F7">
      <w:pPr>
        <w:tabs>
          <w:tab w:val="left" w:leader="underscore" w:pos="9639"/>
        </w:tabs>
        <w:spacing w:after="0"/>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CB14346" w14:textId="77777777" w:rsidR="00450927" w:rsidRDefault="00450927" w:rsidP="005274F7">
      <w:pPr>
        <w:tabs>
          <w:tab w:val="left" w:leader="underscore" w:pos="9639"/>
        </w:tabs>
        <w:spacing w:after="0"/>
        <w:jc w:val="both"/>
        <w:rPr>
          <w:rFonts w:cs="Calibri"/>
        </w:rPr>
      </w:pPr>
    </w:p>
    <w:p w14:paraId="3F8F991D" w14:textId="77777777"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5B378936" w14:textId="77777777" w:rsidR="007D1E76" w:rsidRPr="00E74967" w:rsidRDefault="007D1E76" w:rsidP="005274F7">
      <w:pPr>
        <w:tabs>
          <w:tab w:val="left" w:leader="underscore" w:pos="9639"/>
        </w:tabs>
        <w:spacing w:after="0"/>
        <w:jc w:val="both"/>
        <w:rPr>
          <w:rFonts w:cs="Calibri"/>
        </w:rPr>
      </w:pPr>
    </w:p>
    <w:p w14:paraId="67362A86" w14:textId="5BE95C02" w:rsidR="007D1E76" w:rsidRDefault="008B6D5C" w:rsidP="005274F7">
      <w:pPr>
        <w:pStyle w:val="Ttulo2"/>
        <w:rPr>
          <w:rFonts w:asciiTheme="minorHAnsi" w:hAnsiTheme="minorHAnsi" w:cstheme="minorHAnsi"/>
          <w:b/>
          <w:color w:val="auto"/>
          <w:sz w:val="22"/>
        </w:rPr>
      </w:pPr>
      <w:bookmarkStart w:id="8" w:name="_Toc137545528"/>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8"/>
    </w:p>
    <w:p w14:paraId="240A3338" w14:textId="77777777" w:rsidR="00450927" w:rsidRDefault="00450927" w:rsidP="005274F7"/>
    <w:p w14:paraId="02E1D051" w14:textId="013C3745"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30A25D80" w14:textId="77777777" w:rsidR="00450927" w:rsidRPr="00450927" w:rsidRDefault="00450927" w:rsidP="005274F7"/>
    <w:p w14:paraId="2433F4C4" w14:textId="77777777" w:rsidR="007D1E76" w:rsidRPr="00E74967" w:rsidRDefault="007D1E76" w:rsidP="005274F7">
      <w:pPr>
        <w:tabs>
          <w:tab w:val="left" w:leader="underscore" w:pos="9639"/>
        </w:tabs>
        <w:spacing w:after="0"/>
        <w:jc w:val="both"/>
        <w:rPr>
          <w:rFonts w:cs="Calibri"/>
        </w:rPr>
      </w:pPr>
      <w:r w:rsidRPr="00E74967">
        <w:rPr>
          <w:rFonts w:cs="Calibri"/>
        </w:rPr>
        <w:t>Se deberá informar:</w:t>
      </w:r>
    </w:p>
    <w:p w14:paraId="7841DACB" w14:textId="77777777" w:rsidR="007D1E76" w:rsidRPr="00E74967" w:rsidRDefault="007D1E76" w:rsidP="005274F7">
      <w:pPr>
        <w:tabs>
          <w:tab w:val="left" w:leader="underscore" w:pos="9639"/>
        </w:tabs>
        <w:spacing w:after="0"/>
        <w:jc w:val="both"/>
        <w:rPr>
          <w:rFonts w:cs="Calibri"/>
        </w:rPr>
      </w:pPr>
    </w:p>
    <w:p w14:paraId="17B0D0CB" w14:textId="02AC79E2" w:rsidR="007D1E76"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Por ramo administrativo que los reporta:</w:t>
      </w:r>
    </w:p>
    <w:p w14:paraId="126702F5" w14:textId="77777777" w:rsidR="008B6D5C" w:rsidRDefault="008B6D5C" w:rsidP="008B6D5C">
      <w:pPr>
        <w:spacing w:after="0"/>
        <w:jc w:val="both"/>
        <w:rPr>
          <w:rFonts w:ascii="Arial" w:hAnsi="Arial" w:cs="Arial"/>
          <w:sz w:val="24"/>
          <w:szCs w:val="24"/>
          <w:u w:val="single"/>
        </w:rPr>
      </w:pPr>
    </w:p>
    <w:p w14:paraId="4A59FB1F" w14:textId="47D00545" w:rsidR="008B6D5C" w:rsidRPr="00FC3E53" w:rsidRDefault="008B6D5C" w:rsidP="008B6D5C">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7546BEBB" w14:textId="77777777" w:rsidR="007D1E76" w:rsidRPr="00E74967" w:rsidRDefault="007D1E76" w:rsidP="005274F7">
      <w:pPr>
        <w:tabs>
          <w:tab w:val="left" w:leader="underscore" w:pos="9639"/>
        </w:tabs>
        <w:spacing w:after="0"/>
        <w:jc w:val="both"/>
        <w:rPr>
          <w:rFonts w:cs="Calibri"/>
        </w:rPr>
      </w:pPr>
    </w:p>
    <w:p w14:paraId="360FF49C"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C25E98F" w14:textId="77777777" w:rsidR="007D1E76" w:rsidRPr="00E74967" w:rsidRDefault="007D1E76" w:rsidP="005274F7">
      <w:pPr>
        <w:tabs>
          <w:tab w:val="left" w:leader="underscore" w:pos="9639"/>
        </w:tabs>
        <w:spacing w:after="0"/>
        <w:jc w:val="both"/>
        <w:rPr>
          <w:rFonts w:cs="Calibri"/>
        </w:rPr>
      </w:pPr>
    </w:p>
    <w:p w14:paraId="3F56D477" w14:textId="77777777" w:rsidR="008B6D5C" w:rsidRPr="00FC3E53" w:rsidRDefault="008B6D5C" w:rsidP="008B6D5C">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757DDA81" w14:textId="77777777" w:rsidR="007D1E76" w:rsidRPr="00E74967" w:rsidRDefault="007D1E76" w:rsidP="005274F7">
      <w:pPr>
        <w:tabs>
          <w:tab w:val="left" w:leader="underscore" w:pos="9639"/>
        </w:tabs>
        <w:spacing w:after="0"/>
        <w:jc w:val="both"/>
        <w:rPr>
          <w:rFonts w:cs="Calibri"/>
        </w:rPr>
      </w:pPr>
    </w:p>
    <w:p w14:paraId="7834729B" w14:textId="72E2EAC3" w:rsidR="007D1E76" w:rsidRPr="000C3365" w:rsidRDefault="008B6D5C" w:rsidP="005274F7">
      <w:pPr>
        <w:pStyle w:val="Ttulo2"/>
        <w:rPr>
          <w:rFonts w:asciiTheme="minorHAnsi" w:hAnsiTheme="minorHAnsi" w:cstheme="minorHAnsi"/>
          <w:b/>
          <w:color w:val="auto"/>
          <w:sz w:val="22"/>
        </w:rPr>
      </w:pPr>
      <w:bookmarkStart w:id="9" w:name="_Toc137545529"/>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9"/>
    </w:p>
    <w:p w14:paraId="0F1DAC4F" w14:textId="77777777" w:rsidR="007D1E76" w:rsidRPr="00E74967" w:rsidRDefault="007D1E76" w:rsidP="005274F7">
      <w:pPr>
        <w:tabs>
          <w:tab w:val="left" w:leader="underscore" w:pos="9639"/>
        </w:tabs>
        <w:spacing w:after="0"/>
        <w:jc w:val="both"/>
        <w:rPr>
          <w:rFonts w:cs="Calibri"/>
        </w:rPr>
      </w:pPr>
    </w:p>
    <w:p w14:paraId="0067F9E4" w14:textId="77777777"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FEA533B" w14:textId="77777777" w:rsidR="00450927" w:rsidRDefault="00450927" w:rsidP="005274F7">
      <w:pPr>
        <w:tabs>
          <w:tab w:val="left" w:leader="underscore" w:pos="9639"/>
        </w:tabs>
        <w:spacing w:after="0"/>
        <w:jc w:val="both"/>
        <w:rPr>
          <w:rFonts w:cs="Calibri"/>
        </w:rPr>
      </w:pPr>
    </w:p>
    <w:p w14:paraId="4B87C923" w14:textId="4E6A620A" w:rsidR="007D1E76" w:rsidRPr="005274F7" w:rsidRDefault="00450927" w:rsidP="005274F7">
      <w:pPr>
        <w:spacing w:after="0"/>
        <w:jc w:val="both"/>
        <w:rPr>
          <w:rFonts w:ascii="Arial" w:hAnsi="Arial" w:cs="Arial"/>
          <w:sz w:val="24"/>
          <w:szCs w:val="24"/>
          <w:u w:val="single"/>
        </w:rPr>
      </w:pPr>
      <w:r w:rsidRPr="005274F7">
        <w:rPr>
          <w:rFonts w:ascii="Arial" w:hAnsi="Arial" w:cs="Arial"/>
          <w:sz w:val="24"/>
          <w:szCs w:val="24"/>
          <w:u w:val="single"/>
        </w:rPr>
        <w:t>Por lo que respecta a los ingresos del patronato estos son muy variados es decir dependemos de los eventos que realicen terceros y que pudiéramos cumplir con las expectativas de infraestructura que requieren</w:t>
      </w:r>
      <w:r w:rsidR="005274F7">
        <w:rPr>
          <w:rFonts w:ascii="Arial" w:hAnsi="Arial" w:cs="Arial"/>
          <w:sz w:val="24"/>
          <w:szCs w:val="24"/>
          <w:u w:val="single"/>
        </w:rPr>
        <w:t xml:space="preserve"> los clientes para el uso del mobiliario e instalaciones conocidas como “ECOFORUM”.</w:t>
      </w:r>
      <w:r w:rsidRPr="005274F7">
        <w:rPr>
          <w:rFonts w:ascii="Arial" w:hAnsi="Arial" w:cs="Arial"/>
          <w:sz w:val="24"/>
          <w:szCs w:val="24"/>
          <w:u w:val="single"/>
        </w:rPr>
        <w:t xml:space="preserve"> </w:t>
      </w:r>
    </w:p>
    <w:p w14:paraId="333C2F9D" w14:textId="77777777" w:rsidR="00450927" w:rsidRDefault="00450927" w:rsidP="005274F7">
      <w:pPr>
        <w:tabs>
          <w:tab w:val="left" w:leader="underscore" w:pos="9639"/>
        </w:tabs>
        <w:spacing w:after="0"/>
        <w:jc w:val="both"/>
        <w:rPr>
          <w:rFonts w:cs="Calibri"/>
          <w:b/>
        </w:rPr>
      </w:pPr>
    </w:p>
    <w:p w14:paraId="26FB6318"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Proyección de la recaudación e ingresos en el mediano plazo:</w:t>
      </w:r>
    </w:p>
    <w:p w14:paraId="15154705" w14:textId="77777777" w:rsidR="00450927" w:rsidRDefault="00450927" w:rsidP="005274F7">
      <w:pPr>
        <w:tabs>
          <w:tab w:val="left" w:leader="underscore" w:pos="9639"/>
        </w:tabs>
        <w:spacing w:after="0"/>
        <w:jc w:val="both"/>
        <w:rPr>
          <w:rFonts w:cs="Calibri"/>
        </w:rPr>
      </w:pPr>
    </w:p>
    <w:p w14:paraId="6C52403D" w14:textId="542E4908" w:rsidR="00450927" w:rsidRPr="005274F7" w:rsidRDefault="00450927"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 xml:space="preserve">Se están realizando diversas estrategias de promoción para el uso de espacios dentro del recinto </w:t>
      </w:r>
      <w:r w:rsidR="005274F7">
        <w:rPr>
          <w:rFonts w:ascii="Arial" w:hAnsi="Arial" w:cs="Arial"/>
          <w:sz w:val="24"/>
          <w:szCs w:val="24"/>
          <w:u w:val="single"/>
        </w:rPr>
        <w:t xml:space="preserve">y patrocinios </w:t>
      </w:r>
      <w:r w:rsidRPr="005274F7">
        <w:rPr>
          <w:rFonts w:ascii="Arial" w:hAnsi="Arial" w:cs="Arial"/>
          <w:sz w:val="24"/>
          <w:szCs w:val="24"/>
          <w:u w:val="single"/>
        </w:rPr>
        <w:t xml:space="preserve">por lo que se espera recaudar un monto aproximado por este </w:t>
      </w:r>
      <w:r w:rsidR="00672E00" w:rsidRPr="005274F7">
        <w:rPr>
          <w:rFonts w:ascii="Arial" w:hAnsi="Arial" w:cs="Arial"/>
          <w:sz w:val="24"/>
          <w:szCs w:val="24"/>
          <w:u w:val="single"/>
        </w:rPr>
        <w:t>concepto $</w:t>
      </w:r>
      <w:r w:rsidR="005274F7">
        <w:rPr>
          <w:rFonts w:ascii="Arial" w:hAnsi="Arial" w:cs="Arial"/>
          <w:sz w:val="24"/>
          <w:szCs w:val="24"/>
          <w:u w:val="single"/>
        </w:rPr>
        <w:t xml:space="preserve"> 250,000.00 (Doscientos</w:t>
      </w:r>
      <w:r w:rsidRPr="005274F7">
        <w:rPr>
          <w:rFonts w:ascii="Arial" w:hAnsi="Arial" w:cs="Arial"/>
          <w:sz w:val="24"/>
          <w:szCs w:val="24"/>
          <w:u w:val="single"/>
        </w:rPr>
        <w:t xml:space="preserve"> Cincuenta Mil Pesos 00/100 M.N.)</w:t>
      </w:r>
      <w:r w:rsidR="002F7EF0" w:rsidRPr="005274F7">
        <w:rPr>
          <w:rFonts w:ascii="Arial" w:hAnsi="Arial" w:cs="Arial"/>
          <w:sz w:val="24"/>
          <w:szCs w:val="24"/>
          <w:u w:val="single"/>
        </w:rPr>
        <w:t xml:space="preserve"> </w:t>
      </w:r>
    </w:p>
    <w:p w14:paraId="2A77518F" w14:textId="77777777" w:rsidR="007D1E76" w:rsidRPr="00E74967" w:rsidRDefault="007D1E76" w:rsidP="005274F7">
      <w:pPr>
        <w:tabs>
          <w:tab w:val="left" w:leader="underscore" w:pos="9639"/>
        </w:tabs>
        <w:spacing w:after="0"/>
        <w:jc w:val="both"/>
        <w:rPr>
          <w:rFonts w:cs="Calibri"/>
        </w:rPr>
      </w:pPr>
    </w:p>
    <w:p w14:paraId="3E8095EB" w14:textId="242203C9" w:rsidR="007D1E76" w:rsidRDefault="008B6D5C" w:rsidP="005274F7">
      <w:pPr>
        <w:pStyle w:val="Ttulo2"/>
        <w:rPr>
          <w:rFonts w:asciiTheme="minorHAnsi" w:hAnsiTheme="minorHAnsi" w:cstheme="minorHAnsi"/>
          <w:b/>
          <w:color w:val="auto"/>
          <w:sz w:val="22"/>
        </w:rPr>
      </w:pPr>
      <w:bookmarkStart w:id="10" w:name="_Toc137545530"/>
      <w:r>
        <w:rPr>
          <w:rFonts w:asciiTheme="minorHAnsi" w:hAnsiTheme="minorHAnsi" w:cstheme="minorHAnsi"/>
          <w:b/>
          <w:color w:val="auto"/>
          <w:sz w:val="22"/>
        </w:rPr>
        <w:t>10</w:t>
      </w:r>
      <w:r w:rsidR="007D1E76"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10"/>
    </w:p>
    <w:p w14:paraId="1586B42E" w14:textId="77777777" w:rsidR="008B6D5C" w:rsidRDefault="008B6D5C" w:rsidP="005274F7">
      <w:pPr>
        <w:rPr>
          <w:rFonts w:ascii="Arial" w:hAnsi="Arial" w:cs="Arial"/>
          <w:sz w:val="24"/>
          <w:szCs w:val="24"/>
          <w:u w:val="single"/>
        </w:rPr>
      </w:pPr>
    </w:p>
    <w:p w14:paraId="479B8001" w14:textId="09B8E71B" w:rsidR="00450927" w:rsidRPr="005274F7" w:rsidRDefault="00450927" w:rsidP="005274F7">
      <w:pPr>
        <w:rPr>
          <w:rFonts w:ascii="Arial" w:hAnsi="Arial" w:cs="Arial"/>
          <w:sz w:val="24"/>
          <w:szCs w:val="24"/>
          <w:u w:val="single"/>
        </w:rPr>
      </w:pPr>
      <w:r w:rsidRPr="005274F7">
        <w:rPr>
          <w:rFonts w:ascii="Arial" w:hAnsi="Arial" w:cs="Arial"/>
          <w:sz w:val="24"/>
          <w:szCs w:val="24"/>
          <w:u w:val="single"/>
        </w:rPr>
        <w:t>No contamos con deuda pública con alguna institución financiera</w:t>
      </w:r>
    </w:p>
    <w:p w14:paraId="28D59056" w14:textId="34523E89" w:rsidR="007D1E76" w:rsidRDefault="007D1E76" w:rsidP="005274F7">
      <w:pPr>
        <w:tabs>
          <w:tab w:val="left" w:leader="underscore" w:pos="9639"/>
        </w:tabs>
        <w:spacing w:after="0"/>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5235ECB4" w14:textId="265AA543" w:rsidR="008B6D5C" w:rsidRDefault="008B6D5C" w:rsidP="005274F7">
      <w:pPr>
        <w:tabs>
          <w:tab w:val="left" w:leader="underscore" w:pos="9639"/>
        </w:tabs>
        <w:spacing w:after="0"/>
        <w:jc w:val="both"/>
        <w:rPr>
          <w:rFonts w:cs="Calibri"/>
        </w:rPr>
      </w:pPr>
    </w:p>
    <w:p w14:paraId="1E3F4F1F" w14:textId="77777777" w:rsidR="008B6D5C" w:rsidRPr="00FC3E53" w:rsidRDefault="008B6D5C" w:rsidP="008B6D5C">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240F0BA9" w14:textId="77777777" w:rsidR="007D1E76" w:rsidRPr="00E74967" w:rsidRDefault="007D1E76" w:rsidP="005274F7">
      <w:pPr>
        <w:tabs>
          <w:tab w:val="left" w:leader="underscore" w:pos="9639"/>
        </w:tabs>
        <w:spacing w:after="0"/>
        <w:jc w:val="both"/>
        <w:rPr>
          <w:rFonts w:cs="Calibri"/>
        </w:rPr>
      </w:pPr>
    </w:p>
    <w:p w14:paraId="703F12C1"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6C78222" w14:textId="77777777" w:rsidR="008B6D5C" w:rsidRDefault="008B6D5C" w:rsidP="008B6D5C">
      <w:pPr>
        <w:spacing w:after="0"/>
        <w:jc w:val="both"/>
        <w:rPr>
          <w:rFonts w:ascii="Arial" w:hAnsi="Arial" w:cs="Arial"/>
          <w:sz w:val="24"/>
          <w:szCs w:val="24"/>
          <w:u w:val="single"/>
        </w:rPr>
      </w:pPr>
    </w:p>
    <w:p w14:paraId="57853393" w14:textId="63ACC9D3" w:rsidR="008B6D5C" w:rsidRPr="00FC3E53" w:rsidRDefault="008B6D5C" w:rsidP="008B6D5C">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5255F14F" w14:textId="77777777" w:rsidR="007D1E76" w:rsidRPr="00E74967" w:rsidRDefault="007D1E76" w:rsidP="005274F7">
      <w:pPr>
        <w:tabs>
          <w:tab w:val="left" w:leader="underscore" w:pos="9639"/>
        </w:tabs>
        <w:spacing w:after="0"/>
        <w:jc w:val="both"/>
        <w:rPr>
          <w:rFonts w:cs="Calibri"/>
        </w:rPr>
      </w:pPr>
    </w:p>
    <w:p w14:paraId="46173393" w14:textId="77777777" w:rsidR="007D1E76" w:rsidRPr="00E74967" w:rsidRDefault="007D1E76" w:rsidP="005274F7">
      <w:pPr>
        <w:tabs>
          <w:tab w:val="left" w:leader="underscore" w:pos="9639"/>
        </w:tabs>
        <w:spacing w:after="0"/>
        <w:jc w:val="both"/>
        <w:rPr>
          <w:rFonts w:cs="Calibri"/>
        </w:rPr>
      </w:pPr>
    </w:p>
    <w:p w14:paraId="03225A02" w14:textId="5D063B56" w:rsidR="007D1E76" w:rsidRDefault="008B6D5C" w:rsidP="005274F7">
      <w:pPr>
        <w:pStyle w:val="Ttulo2"/>
        <w:rPr>
          <w:rFonts w:asciiTheme="minorHAnsi" w:hAnsiTheme="minorHAnsi" w:cstheme="minorHAnsi"/>
          <w:b/>
          <w:color w:val="auto"/>
          <w:sz w:val="22"/>
        </w:rPr>
      </w:pPr>
      <w:bookmarkStart w:id="11" w:name="_Toc137545531"/>
      <w:r>
        <w:rPr>
          <w:rFonts w:asciiTheme="minorHAnsi" w:hAnsiTheme="minorHAnsi" w:cstheme="minorHAnsi"/>
          <w:b/>
          <w:color w:val="auto"/>
          <w:sz w:val="22"/>
        </w:rPr>
        <w:t>11</w:t>
      </w:r>
      <w:r w:rsidR="007D1E76"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1"/>
    </w:p>
    <w:p w14:paraId="57E3BCC4" w14:textId="77777777" w:rsidR="00450927" w:rsidRDefault="00450927" w:rsidP="005274F7"/>
    <w:p w14:paraId="56CD9454" w14:textId="77777777" w:rsidR="00450927" w:rsidRPr="00E74967" w:rsidRDefault="00450927" w:rsidP="005274F7">
      <w:pPr>
        <w:tabs>
          <w:tab w:val="left" w:leader="underscore" w:pos="9639"/>
        </w:tabs>
        <w:spacing w:after="0"/>
        <w:jc w:val="both"/>
        <w:rPr>
          <w:rFonts w:cs="Calibri"/>
        </w:rPr>
      </w:pPr>
      <w:r w:rsidRPr="00E74967">
        <w:rPr>
          <w:rFonts w:cs="Calibri"/>
        </w:rPr>
        <w:t>Informar, tanto del ente público como cualquier transacción realizada, que haya sido sujeta a una calificación crediticia:</w:t>
      </w:r>
    </w:p>
    <w:p w14:paraId="27C0454A" w14:textId="77777777" w:rsidR="00450927" w:rsidRDefault="00450927" w:rsidP="005274F7">
      <w:pPr>
        <w:tabs>
          <w:tab w:val="left" w:leader="underscore" w:pos="9639"/>
        </w:tabs>
        <w:spacing w:after="0"/>
        <w:jc w:val="both"/>
        <w:rPr>
          <w:rFonts w:cs="Calibri"/>
          <w:u w:val="single"/>
        </w:rPr>
      </w:pPr>
    </w:p>
    <w:p w14:paraId="1A352735" w14:textId="77777777" w:rsidR="00450927" w:rsidRDefault="00450927" w:rsidP="005274F7">
      <w:pPr>
        <w:tabs>
          <w:tab w:val="left" w:leader="underscore" w:pos="9639"/>
        </w:tabs>
        <w:spacing w:after="0"/>
        <w:jc w:val="both"/>
        <w:rPr>
          <w:rFonts w:cs="Calibri"/>
        </w:rPr>
      </w:pPr>
      <w:r w:rsidRPr="005274F7">
        <w:rPr>
          <w:rFonts w:ascii="Arial" w:hAnsi="Arial" w:cs="Arial"/>
          <w:sz w:val="24"/>
          <w:szCs w:val="24"/>
          <w:u w:val="single"/>
        </w:rPr>
        <w:t>No se han realizado este tipo de calificaciones</w:t>
      </w:r>
    </w:p>
    <w:p w14:paraId="6BE0521B" w14:textId="77777777" w:rsidR="007D1E76" w:rsidRPr="00E74967" w:rsidRDefault="007D1E76" w:rsidP="005274F7">
      <w:pPr>
        <w:tabs>
          <w:tab w:val="left" w:leader="underscore" w:pos="9639"/>
        </w:tabs>
        <w:spacing w:after="0"/>
        <w:jc w:val="both"/>
        <w:rPr>
          <w:rFonts w:cs="Calibri"/>
        </w:rPr>
      </w:pPr>
    </w:p>
    <w:p w14:paraId="5DD9C87E" w14:textId="45AA156C" w:rsidR="007D1E76" w:rsidRPr="000C3365" w:rsidRDefault="008B6D5C" w:rsidP="005274F7">
      <w:pPr>
        <w:pStyle w:val="Ttulo2"/>
        <w:rPr>
          <w:rFonts w:asciiTheme="minorHAnsi" w:hAnsiTheme="minorHAnsi" w:cstheme="minorHAnsi"/>
          <w:b/>
          <w:color w:val="auto"/>
          <w:sz w:val="22"/>
        </w:rPr>
      </w:pPr>
      <w:bookmarkStart w:id="12" w:name="_Toc137545532"/>
      <w:r>
        <w:rPr>
          <w:rFonts w:asciiTheme="minorHAnsi" w:hAnsiTheme="minorHAnsi" w:cstheme="minorHAnsi"/>
          <w:b/>
          <w:color w:val="auto"/>
          <w:sz w:val="22"/>
        </w:rPr>
        <w:t>12</w:t>
      </w:r>
      <w:r w:rsidR="007D1E76" w:rsidRPr="000C3365">
        <w:rPr>
          <w:rFonts w:asciiTheme="minorHAnsi" w:hAnsiTheme="minorHAnsi" w:cstheme="minorHAnsi"/>
          <w:b/>
          <w:color w:val="auto"/>
          <w:sz w:val="22"/>
        </w:rPr>
        <w:t>. Proceso de Mejora:</w:t>
      </w:r>
      <w:bookmarkEnd w:id="12"/>
    </w:p>
    <w:p w14:paraId="06ED6A5C" w14:textId="77777777" w:rsidR="007D1E76" w:rsidRPr="00E74967" w:rsidRDefault="007D1E76" w:rsidP="005274F7">
      <w:pPr>
        <w:tabs>
          <w:tab w:val="left" w:leader="underscore" w:pos="9639"/>
        </w:tabs>
        <w:spacing w:after="0"/>
        <w:jc w:val="both"/>
        <w:rPr>
          <w:rFonts w:cs="Calibri"/>
        </w:rPr>
      </w:pPr>
    </w:p>
    <w:p w14:paraId="5D160411" w14:textId="77777777" w:rsidR="007D1E76" w:rsidRPr="00E74967" w:rsidRDefault="007D1E76" w:rsidP="005274F7">
      <w:pPr>
        <w:tabs>
          <w:tab w:val="left" w:leader="underscore" w:pos="9639"/>
        </w:tabs>
        <w:spacing w:after="0"/>
        <w:jc w:val="both"/>
        <w:rPr>
          <w:rFonts w:cs="Calibri"/>
        </w:rPr>
      </w:pPr>
      <w:r w:rsidRPr="00E74967">
        <w:rPr>
          <w:rFonts w:cs="Calibri"/>
        </w:rPr>
        <w:t>Se informará de:</w:t>
      </w:r>
    </w:p>
    <w:p w14:paraId="30A6E64E" w14:textId="77777777" w:rsidR="007D1E76" w:rsidRPr="00E74967" w:rsidRDefault="007D1E76" w:rsidP="005274F7">
      <w:pPr>
        <w:tabs>
          <w:tab w:val="left" w:leader="underscore" w:pos="9639"/>
        </w:tabs>
        <w:spacing w:after="0"/>
        <w:jc w:val="both"/>
        <w:rPr>
          <w:rFonts w:cs="Calibri"/>
        </w:rPr>
      </w:pPr>
    </w:p>
    <w:p w14:paraId="0DDE07EB" w14:textId="77777777"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Principales Políticas de control interno:</w:t>
      </w:r>
    </w:p>
    <w:p w14:paraId="19E28416" w14:textId="77777777" w:rsidR="00450927" w:rsidRDefault="00450927" w:rsidP="005274F7">
      <w:pPr>
        <w:tabs>
          <w:tab w:val="left" w:leader="underscore" w:pos="9639"/>
        </w:tabs>
        <w:spacing w:after="0"/>
        <w:jc w:val="both"/>
        <w:rPr>
          <w:rFonts w:cs="Calibri"/>
        </w:rPr>
      </w:pPr>
    </w:p>
    <w:p w14:paraId="21F1FEEF" w14:textId="27FE29F4" w:rsidR="00450927" w:rsidRPr="00FC3E53" w:rsidRDefault="00450927" w:rsidP="005274F7">
      <w:pPr>
        <w:spacing w:after="0"/>
        <w:jc w:val="both"/>
        <w:rPr>
          <w:rFonts w:ascii="Arial" w:hAnsi="Arial" w:cs="Arial"/>
          <w:sz w:val="24"/>
          <w:szCs w:val="24"/>
          <w:u w:val="single"/>
        </w:rPr>
      </w:pPr>
      <w:r w:rsidRPr="00FC3E53">
        <w:rPr>
          <w:rFonts w:ascii="Arial" w:hAnsi="Arial" w:cs="Arial"/>
          <w:sz w:val="24"/>
          <w:szCs w:val="24"/>
          <w:u w:val="single"/>
        </w:rPr>
        <w:t xml:space="preserve">Se está en un proceso de restructuración y </w:t>
      </w:r>
      <w:r w:rsidR="00041768">
        <w:rPr>
          <w:rFonts w:ascii="Arial" w:hAnsi="Arial" w:cs="Arial"/>
          <w:sz w:val="24"/>
          <w:szCs w:val="24"/>
          <w:u w:val="single"/>
        </w:rPr>
        <w:t xml:space="preserve">de </w:t>
      </w:r>
      <w:r w:rsidRPr="00FC3E53">
        <w:rPr>
          <w:rFonts w:ascii="Arial" w:hAnsi="Arial" w:cs="Arial"/>
          <w:sz w:val="24"/>
          <w:szCs w:val="24"/>
          <w:u w:val="single"/>
        </w:rPr>
        <w:t xml:space="preserve">mejora </w:t>
      </w:r>
      <w:r w:rsidR="005274F7" w:rsidRPr="00FC3E53">
        <w:rPr>
          <w:rFonts w:ascii="Arial" w:hAnsi="Arial" w:cs="Arial"/>
          <w:sz w:val="24"/>
          <w:szCs w:val="24"/>
          <w:u w:val="single"/>
        </w:rPr>
        <w:t>continúa</w:t>
      </w:r>
      <w:r w:rsidRPr="00FC3E53">
        <w:rPr>
          <w:rFonts w:ascii="Arial" w:hAnsi="Arial" w:cs="Arial"/>
          <w:sz w:val="24"/>
          <w:szCs w:val="24"/>
          <w:u w:val="single"/>
        </w:rPr>
        <w:t xml:space="preserve"> debido a los ca</w:t>
      </w:r>
      <w:r w:rsidR="00041768">
        <w:rPr>
          <w:rFonts w:ascii="Arial" w:hAnsi="Arial" w:cs="Arial"/>
          <w:sz w:val="24"/>
          <w:szCs w:val="24"/>
          <w:u w:val="single"/>
        </w:rPr>
        <w:t>m</w:t>
      </w:r>
      <w:r w:rsidRPr="00FC3E53">
        <w:rPr>
          <w:rFonts w:ascii="Arial" w:hAnsi="Arial" w:cs="Arial"/>
          <w:sz w:val="24"/>
          <w:szCs w:val="24"/>
          <w:u w:val="single"/>
        </w:rPr>
        <w:t>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5BCDE07A" w14:textId="77777777" w:rsidR="007D1E76" w:rsidRPr="00E74967" w:rsidRDefault="007D1E76" w:rsidP="005274F7">
      <w:pPr>
        <w:tabs>
          <w:tab w:val="left" w:leader="underscore" w:pos="9639"/>
        </w:tabs>
        <w:spacing w:after="0"/>
        <w:jc w:val="both"/>
        <w:rPr>
          <w:rFonts w:cs="Calibri"/>
        </w:rPr>
      </w:pPr>
    </w:p>
    <w:p w14:paraId="0429975E"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Medidas de desempeño financiero, metas y alcance:</w:t>
      </w:r>
    </w:p>
    <w:p w14:paraId="4AA0ABF8" w14:textId="77777777" w:rsidR="00450927" w:rsidRDefault="00450927" w:rsidP="005274F7">
      <w:pPr>
        <w:tabs>
          <w:tab w:val="left" w:leader="underscore" w:pos="9639"/>
        </w:tabs>
        <w:spacing w:after="0"/>
        <w:jc w:val="both"/>
        <w:rPr>
          <w:rFonts w:cs="Calibri"/>
        </w:rPr>
      </w:pPr>
    </w:p>
    <w:p w14:paraId="10F21320" w14:textId="0001F546" w:rsidR="00450927" w:rsidRPr="00FC3E53" w:rsidRDefault="00450927" w:rsidP="005274F7">
      <w:pPr>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P</w:t>
      </w:r>
      <w:r w:rsidR="00672E00">
        <w:rPr>
          <w:rFonts w:ascii="Arial" w:hAnsi="Arial" w:cs="Arial"/>
          <w:sz w:val="24"/>
          <w:szCs w:val="24"/>
          <w:u w:val="single"/>
        </w:rPr>
        <w:t>B</w:t>
      </w:r>
      <w:r>
        <w:rPr>
          <w:rFonts w:ascii="Arial" w:hAnsi="Arial" w:cs="Arial"/>
          <w:sz w:val="24"/>
          <w:szCs w:val="24"/>
          <w:u w:val="single"/>
        </w:rPr>
        <w:t>R</w:t>
      </w:r>
      <w:r w:rsidRPr="00FC3E53">
        <w:rPr>
          <w:rFonts w:ascii="Arial" w:hAnsi="Arial" w:cs="Arial"/>
          <w:sz w:val="24"/>
          <w:szCs w:val="24"/>
          <w:u w:val="single"/>
        </w:rPr>
        <w:t xml:space="preserve">. </w:t>
      </w:r>
    </w:p>
    <w:p w14:paraId="31D477C9" w14:textId="2040B97B" w:rsidR="007D1E76" w:rsidRPr="00E74967" w:rsidRDefault="007D1E76" w:rsidP="005274F7">
      <w:pPr>
        <w:tabs>
          <w:tab w:val="left" w:leader="underscore" w:pos="9639"/>
        </w:tabs>
        <w:spacing w:after="0"/>
        <w:jc w:val="both"/>
        <w:rPr>
          <w:rFonts w:cs="Calibri"/>
        </w:rPr>
      </w:pPr>
    </w:p>
    <w:p w14:paraId="1D49877D" w14:textId="137793EE" w:rsidR="007D1E76" w:rsidRPr="000C3365" w:rsidRDefault="007D1E76" w:rsidP="005274F7">
      <w:pPr>
        <w:pStyle w:val="Ttulo2"/>
        <w:rPr>
          <w:rFonts w:asciiTheme="minorHAnsi" w:hAnsiTheme="minorHAnsi" w:cstheme="minorHAnsi"/>
          <w:b/>
          <w:color w:val="auto"/>
          <w:sz w:val="22"/>
        </w:rPr>
      </w:pPr>
      <w:bookmarkStart w:id="13" w:name="_Toc137545533"/>
      <w:r w:rsidRPr="000C3365">
        <w:rPr>
          <w:rFonts w:asciiTheme="minorHAnsi" w:hAnsiTheme="minorHAnsi" w:cstheme="minorHAnsi"/>
          <w:b/>
          <w:color w:val="auto"/>
          <w:sz w:val="22"/>
        </w:rPr>
        <w:t>1</w:t>
      </w:r>
      <w:r w:rsidR="008B6D5C">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3"/>
    </w:p>
    <w:p w14:paraId="28DF79F6" w14:textId="77777777" w:rsidR="007D1E76" w:rsidRPr="00E74967" w:rsidRDefault="007D1E76" w:rsidP="005274F7">
      <w:pPr>
        <w:tabs>
          <w:tab w:val="left" w:leader="underscore" w:pos="9639"/>
        </w:tabs>
        <w:spacing w:after="0"/>
        <w:jc w:val="both"/>
        <w:rPr>
          <w:rFonts w:cs="Calibri"/>
        </w:rPr>
      </w:pPr>
    </w:p>
    <w:p w14:paraId="2056AB02" w14:textId="77777777" w:rsidR="007D1E76" w:rsidRPr="00E74967" w:rsidRDefault="007D1E76" w:rsidP="005274F7">
      <w:pPr>
        <w:tabs>
          <w:tab w:val="left" w:leader="underscore" w:pos="9639"/>
        </w:tabs>
        <w:spacing w:after="0"/>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7EB40FF" w14:textId="77777777" w:rsidR="007D1E76" w:rsidRPr="00E74967" w:rsidRDefault="007D1E76" w:rsidP="005274F7">
      <w:pPr>
        <w:tabs>
          <w:tab w:val="left" w:leader="underscore" w:pos="9639"/>
        </w:tabs>
        <w:spacing w:after="0"/>
        <w:jc w:val="both"/>
        <w:rPr>
          <w:rFonts w:cs="Calibri"/>
        </w:rPr>
      </w:pPr>
    </w:p>
    <w:p w14:paraId="5729453C" w14:textId="15335B17" w:rsidR="007D1E76" w:rsidRDefault="007D1E76" w:rsidP="005274F7">
      <w:pPr>
        <w:tabs>
          <w:tab w:val="left" w:leader="underscore" w:pos="9639"/>
        </w:tabs>
        <w:spacing w:after="0"/>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577B8EED" w14:textId="77777777" w:rsidR="00784061" w:rsidRDefault="00784061" w:rsidP="008B6D5C">
      <w:pPr>
        <w:jc w:val="both"/>
        <w:rPr>
          <w:rFonts w:ascii="Arial" w:hAnsi="Arial" w:cs="Arial"/>
          <w:sz w:val="24"/>
          <w:szCs w:val="24"/>
          <w:u w:val="single"/>
        </w:rPr>
      </w:pPr>
    </w:p>
    <w:p w14:paraId="6C646F41" w14:textId="6A624846" w:rsidR="008B6D5C" w:rsidRPr="008B6D5C" w:rsidRDefault="008B6D5C" w:rsidP="008B6D5C">
      <w:pPr>
        <w:jc w:val="both"/>
        <w:rPr>
          <w:rFonts w:ascii="Arial" w:hAnsi="Arial" w:cs="Arial"/>
          <w:sz w:val="24"/>
          <w:szCs w:val="24"/>
          <w:u w:val="single"/>
        </w:rPr>
      </w:pPr>
      <w:r w:rsidRPr="008B6D5C">
        <w:rPr>
          <w:rFonts w:ascii="Arial" w:hAnsi="Arial" w:cs="Arial"/>
          <w:sz w:val="24"/>
          <w:szCs w:val="24"/>
          <w:u w:val="single"/>
        </w:rPr>
        <w:t>En este caso, toda la información se encuentra procesada por Segment</w:t>
      </w:r>
      <w:r w:rsidR="00784061">
        <w:rPr>
          <w:rFonts w:ascii="Arial" w:hAnsi="Arial" w:cs="Arial"/>
          <w:sz w:val="24"/>
          <w:szCs w:val="24"/>
          <w:u w:val="single"/>
        </w:rPr>
        <w:t>os Departamentales del Patronato</w:t>
      </w:r>
      <w:r w:rsidRPr="008B6D5C">
        <w:rPr>
          <w:rFonts w:ascii="Arial" w:hAnsi="Arial" w:cs="Arial"/>
          <w:sz w:val="24"/>
          <w:szCs w:val="24"/>
          <w:u w:val="single"/>
        </w:rPr>
        <w:t>, en todo caso ya se encuentra plasmada en el informe de Presupuesto por Unidad Administrativa.</w:t>
      </w:r>
    </w:p>
    <w:p w14:paraId="6EB21F91" w14:textId="5B2910FC" w:rsidR="007D1E76" w:rsidRPr="000C3365" w:rsidRDefault="007D1E76" w:rsidP="005274F7">
      <w:pPr>
        <w:pStyle w:val="Ttulo2"/>
        <w:rPr>
          <w:rFonts w:asciiTheme="minorHAnsi" w:hAnsiTheme="minorHAnsi" w:cstheme="minorHAnsi"/>
          <w:b/>
          <w:color w:val="auto"/>
          <w:sz w:val="22"/>
        </w:rPr>
      </w:pPr>
      <w:bookmarkStart w:id="14" w:name="_Toc137545534"/>
      <w:r w:rsidRPr="000C3365">
        <w:rPr>
          <w:rFonts w:asciiTheme="minorHAnsi" w:hAnsiTheme="minorHAnsi" w:cstheme="minorHAnsi"/>
          <w:b/>
          <w:color w:val="auto"/>
          <w:sz w:val="22"/>
        </w:rPr>
        <w:t>1</w:t>
      </w:r>
      <w:r w:rsidR="008B6D5C">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4"/>
    </w:p>
    <w:p w14:paraId="4271E6F3" w14:textId="77777777" w:rsidR="007D1E76" w:rsidRPr="00E74967" w:rsidRDefault="007D1E76" w:rsidP="005274F7">
      <w:pPr>
        <w:tabs>
          <w:tab w:val="left" w:leader="underscore" w:pos="9639"/>
        </w:tabs>
        <w:spacing w:after="0"/>
        <w:jc w:val="both"/>
        <w:rPr>
          <w:rFonts w:cs="Calibri"/>
        </w:rPr>
      </w:pPr>
    </w:p>
    <w:p w14:paraId="26B5DA10" w14:textId="713630AC" w:rsidR="007D1E76" w:rsidRPr="00E74967" w:rsidRDefault="007D1E76" w:rsidP="005274F7">
      <w:pPr>
        <w:tabs>
          <w:tab w:val="left" w:leader="underscore" w:pos="9639"/>
        </w:tabs>
        <w:spacing w:after="0"/>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8B6D5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297B4CDD" w14:textId="77777777" w:rsidR="00450927" w:rsidRPr="00FC3E53" w:rsidRDefault="00450927" w:rsidP="005274F7">
      <w:pPr>
        <w:spacing w:after="0"/>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7A4084D6" w14:textId="77777777" w:rsidR="007D1E76" w:rsidRPr="00E74967" w:rsidRDefault="00450927" w:rsidP="005274F7">
      <w:pPr>
        <w:tabs>
          <w:tab w:val="left" w:pos="1095"/>
        </w:tabs>
        <w:spacing w:after="0"/>
        <w:jc w:val="both"/>
        <w:rPr>
          <w:rFonts w:cs="Calibri"/>
        </w:rPr>
      </w:pPr>
      <w:r>
        <w:rPr>
          <w:rFonts w:cs="Calibri"/>
        </w:rPr>
        <w:tab/>
      </w:r>
    </w:p>
    <w:p w14:paraId="1834FBAF" w14:textId="50220B37" w:rsidR="007D1E76" w:rsidRPr="000C3365" w:rsidRDefault="00DB6099" w:rsidP="005274F7">
      <w:pPr>
        <w:pStyle w:val="Ttulo2"/>
        <w:rPr>
          <w:rFonts w:asciiTheme="minorHAnsi" w:hAnsiTheme="minorHAnsi" w:cstheme="minorHAnsi"/>
          <w:b/>
          <w:color w:val="auto"/>
          <w:sz w:val="22"/>
        </w:rPr>
      </w:pPr>
      <w:bookmarkStart w:id="15" w:name="_Toc137545535"/>
      <w:r>
        <w:rPr>
          <w:rFonts w:asciiTheme="minorHAnsi" w:hAnsiTheme="minorHAnsi" w:cstheme="minorHAnsi"/>
          <w:b/>
          <w:color w:val="auto"/>
          <w:sz w:val="22"/>
        </w:rPr>
        <w:t>15</w:t>
      </w:r>
      <w:r w:rsidR="005E231E" w:rsidRPr="000C3365">
        <w:rPr>
          <w:rFonts w:asciiTheme="minorHAnsi" w:hAnsiTheme="minorHAnsi" w:cstheme="minorHAnsi"/>
          <w:b/>
          <w:color w:val="auto"/>
          <w:sz w:val="22"/>
        </w:rPr>
        <w:t>. Partes Relacionadas:</w:t>
      </w:r>
      <w:bookmarkEnd w:id="15"/>
    </w:p>
    <w:p w14:paraId="43A81874" w14:textId="77777777" w:rsidR="007D1E76" w:rsidRPr="00E74967" w:rsidRDefault="007D1E76" w:rsidP="005274F7">
      <w:pPr>
        <w:tabs>
          <w:tab w:val="left" w:leader="underscore" w:pos="9639"/>
        </w:tabs>
        <w:spacing w:after="0"/>
        <w:jc w:val="both"/>
        <w:rPr>
          <w:rFonts w:cs="Calibri"/>
        </w:rPr>
      </w:pPr>
    </w:p>
    <w:p w14:paraId="6A452017" w14:textId="77777777" w:rsidR="00784061" w:rsidRDefault="007D1E76" w:rsidP="00784061">
      <w:pPr>
        <w:tabs>
          <w:tab w:val="left" w:leader="underscore" w:pos="9639"/>
        </w:tabs>
        <w:spacing w:after="0"/>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3714F4B" w14:textId="77777777" w:rsidR="00784061" w:rsidRDefault="00784061" w:rsidP="00784061">
      <w:pPr>
        <w:tabs>
          <w:tab w:val="left" w:leader="underscore" w:pos="9639"/>
        </w:tabs>
        <w:spacing w:after="0"/>
        <w:jc w:val="both"/>
        <w:rPr>
          <w:rFonts w:cs="Calibri"/>
        </w:rPr>
      </w:pPr>
    </w:p>
    <w:p w14:paraId="480D9518" w14:textId="1D0DD155" w:rsidR="008B6D5C" w:rsidRPr="00784061" w:rsidRDefault="00784061" w:rsidP="00784061">
      <w:pPr>
        <w:tabs>
          <w:tab w:val="left" w:leader="underscore" w:pos="9639"/>
        </w:tabs>
        <w:spacing w:after="0"/>
        <w:jc w:val="both"/>
        <w:rPr>
          <w:rFonts w:cs="Calibri"/>
        </w:rPr>
      </w:pPr>
      <w:r>
        <w:rPr>
          <w:rFonts w:ascii="Arial" w:hAnsi="Arial" w:cs="Arial"/>
          <w:sz w:val="24"/>
          <w:szCs w:val="24"/>
          <w:u w:val="single"/>
        </w:rPr>
        <w:t>Se tiene relación con la A</w:t>
      </w:r>
      <w:r w:rsidR="008B6D5C" w:rsidRPr="00784061">
        <w:rPr>
          <w:rFonts w:ascii="Arial" w:hAnsi="Arial" w:cs="Arial"/>
          <w:sz w:val="24"/>
          <w:szCs w:val="24"/>
          <w:u w:val="single"/>
        </w:rPr>
        <w:t xml:space="preserve">dministración Municipal Central, </w:t>
      </w:r>
      <w:r>
        <w:rPr>
          <w:rFonts w:ascii="Arial" w:hAnsi="Arial" w:cs="Arial"/>
          <w:sz w:val="24"/>
          <w:szCs w:val="24"/>
          <w:u w:val="single"/>
        </w:rPr>
        <w:t xml:space="preserve">obteniendo subsidios </w:t>
      </w:r>
      <w:r w:rsidR="008B6D5C" w:rsidRPr="00784061">
        <w:rPr>
          <w:rFonts w:ascii="Arial" w:hAnsi="Arial" w:cs="Arial"/>
          <w:sz w:val="24"/>
          <w:szCs w:val="24"/>
          <w:u w:val="single"/>
        </w:rPr>
        <w:t>de su parte</w:t>
      </w:r>
      <w:r>
        <w:rPr>
          <w:rFonts w:ascii="Arial" w:hAnsi="Arial" w:cs="Arial"/>
          <w:sz w:val="24"/>
          <w:szCs w:val="24"/>
          <w:u w:val="single"/>
        </w:rPr>
        <w:t>y</w:t>
      </w:r>
      <w:r w:rsidR="008B6D5C" w:rsidRPr="00784061">
        <w:rPr>
          <w:rFonts w:ascii="Arial" w:hAnsi="Arial" w:cs="Arial"/>
          <w:sz w:val="24"/>
          <w:szCs w:val="24"/>
          <w:u w:val="single"/>
        </w:rPr>
        <w:t xml:space="preserve"> recursos propios.</w:t>
      </w:r>
    </w:p>
    <w:p w14:paraId="01D40E9A" w14:textId="77777777" w:rsidR="007D1E76" w:rsidRPr="00E74967" w:rsidRDefault="007D1E76" w:rsidP="005274F7">
      <w:pPr>
        <w:tabs>
          <w:tab w:val="left" w:leader="underscore" w:pos="9639"/>
        </w:tabs>
        <w:spacing w:after="0"/>
        <w:jc w:val="both"/>
        <w:rPr>
          <w:rFonts w:cs="Calibri"/>
        </w:rPr>
      </w:pPr>
    </w:p>
    <w:p w14:paraId="3F40ED88" w14:textId="03129129" w:rsidR="007D1E76" w:rsidRPr="00F46719" w:rsidRDefault="00DB6099" w:rsidP="005274F7">
      <w:pPr>
        <w:pStyle w:val="Ttulo2"/>
        <w:rPr>
          <w:rFonts w:asciiTheme="minorHAnsi" w:hAnsiTheme="minorHAnsi" w:cstheme="minorHAnsi"/>
          <w:b/>
          <w:color w:val="auto"/>
          <w:sz w:val="22"/>
        </w:rPr>
      </w:pPr>
      <w:bookmarkStart w:id="16" w:name="_Toc137545536"/>
      <w:r>
        <w:rPr>
          <w:rFonts w:asciiTheme="minorHAnsi" w:hAnsiTheme="minorHAnsi" w:cstheme="minorHAnsi"/>
          <w:b/>
          <w:color w:val="auto"/>
          <w:sz w:val="22"/>
        </w:rPr>
        <w:t>16</w:t>
      </w:r>
      <w:r w:rsidR="007D1E76"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38E54E1B" w14:textId="77777777" w:rsidR="007D1E76" w:rsidRPr="00E74967" w:rsidRDefault="007D1E76" w:rsidP="005274F7">
      <w:pPr>
        <w:tabs>
          <w:tab w:val="left" w:leader="underscore" w:pos="9639"/>
        </w:tabs>
        <w:spacing w:after="0"/>
        <w:jc w:val="both"/>
        <w:rPr>
          <w:rFonts w:cs="Calibri"/>
        </w:rPr>
      </w:pPr>
    </w:p>
    <w:p w14:paraId="4FF2282A" w14:textId="77777777" w:rsidR="007D1E76" w:rsidRPr="00E74967" w:rsidRDefault="001973A2" w:rsidP="005274F7">
      <w:pPr>
        <w:tabs>
          <w:tab w:val="left" w:leader="underscore" w:pos="9639"/>
        </w:tabs>
        <w:spacing w:after="0"/>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7FBC29B" w14:textId="77777777" w:rsidR="007D1E76" w:rsidRDefault="007D1E76" w:rsidP="005274F7">
      <w:pPr>
        <w:pBdr>
          <w:bottom w:val="single" w:sz="12" w:space="1" w:color="auto"/>
        </w:pBdr>
        <w:tabs>
          <w:tab w:val="left" w:leader="underscore" w:pos="9639"/>
        </w:tabs>
        <w:spacing w:after="0"/>
        <w:jc w:val="both"/>
        <w:rPr>
          <w:rFonts w:cs="Calibri"/>
        </w:rPr>
      </w:pPr>
    </w:p>
    <w:p w14:paraId="306564A3" w14:textId="77777777" w:rsidR="0012405A" w:rsidRDefault="0012405A" w:rsidP="005274F7">
      <w:pPr>
        <w:tabs>
          <w:tab w:val="left" w:leader="underscore" w:pos="9639"/>
        </w:tabs>
        <w:spacing w:after="0"/>
        <w:jc w:val="both"/>
        <w:rPr>
          <w:rFonts w:asciiTheme="minorHAnsi" w:hAnsiTheme="minorHAnsi" w:cstheme="minorHAnsi"/>
          <w:b/>
          <w:sz w:val="24"/>
          <w:szCs w:val="24"/>
        </w:rPr>
      </w:pPr>
    </w:p>
    <w:p w14:paraId="777C0F48" w14:textId="1FFDF598" w:rsidR="007610BC" w:rsidRDefault="00AE1F6A" w:rsidP="002730ED">
      <w:pPr>
        <w:tabs>
          <w:tab w:val="left" w:leader="underscore" w:pos="9639"/>
        </w:tabs>
        <w:spacing w:after="0"/>
        <w:jc w:val="both"/>
        <w:rPr>
          <w:rFonts w:cs="Calibri"/>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tbl>
      <w:tblPr>
        <w:tblW w:w="10940" w:type="dxa"/>
        <w:tblCellMar>
          <w:left w:w="70" w:type="dxa"/>
          <w:right w:w="70" w:type="dxa"/>
        </w:tblCellMar>
        <w:tblLook w:val="04A0" w:firstRow="1" w:lastRow="0" w:firstColumn="1" w:lastColumn="0" w:noHBand="0" w:noVBand="1"/>
      </w:tblPr>
      <w:tblGrid>
        <w:gridCol w:w="154"/>
        <w:gridCol w:w="10786"/>
      </w:tblGrid>
      <w:tr w:rsidR="00424863" w:rsidRPr="00424863" w14:paraId="0F1C9373" w14:textId="77777777" w:rsidTr="00424863">
        <w:trPr>
          <w:trHeight w:val="225"/>
        </w:trPr>
        <w:tc>
          <w:tcPr>
            <w:tcW w:w="10940" w:type="dxa"/>
            <w:gridSpan w:val="2"/>
            <w:tcBorders>
              <w:top w:val="nil"/>
              <w:left w:val="nil"/>
              <w:bottom w:val="nil"/>
              <w:right w:val="nil"/>
            </w:tcBorders>
            <w:shd w:val="clear" w:color="auto" w:fill="auto"/>
            <w:noWrap/>
            <w:vAlign w:val="center"/>
            <w:hideMark/>
          </w:tcPr>
          <w:p w14:paraId="0791D898" w14:textId="77777777" w:rsidR="00672E00" w:rsidRDefault="00672E00" w:rsidP="005274F7">
            <w:pPr>
              <w:spacing w:after="0"/>
              <w:jc w:val="center"/>
              <w:rPr>
                <w:rFonts w:ascii="Arial" w:eastAsia="Times New Roman" w:hAnsi="Arial" w:cs="Arial"/>
                <w:sz w:val="16"/>
                <w:szCs w:val="16"/>
                <w:lang w:val="es-ES" w:eastAsia="es-ES"/>
              </w:rPr>
            </w:pPr>
          </w:p>
          <w:p w14:paraId="6D632202" w14:textId="6B431537" w:rsidR="00424863" w:rsidRPr="00424863" w:rsidRDefault="00424863" w:rsidP="005274F7">
            <w:pPr>
              <w:spacing w:after="0"/>
              <w:jc w:val="center"/>
              <w:rPr>
                <w:rFonts w:ascii="Arial" w:eastAsia="Times New Roman" w:hAnsi="Arial" w:cs="Arial"/>
                <w:sz w:val="16"/>
                <w:szCs w:val="16"/>
                <w:lang w:val="es-ES" w:eastAsia="es-ES"/>
              </w:rPr>
            </w:pPr>
            <w:r w:rsidRPr="00424863">
              <w:rPr>
                <w:rFonts w:ascii="Arial" w:eastAsia="Times New Roman" w:hAnsi="Arial" w:cs="Arial"/>
                <w:sz w:val="16"/>
                <w:szCs w:val="16"/>
                <w:lang w:val="es-ES" w:eastAsia="es-ES"/>
              </w:rPr>
              <w:t>“Bajo protesta de decir verdad declaramos que los Estados Financieros y sus notas, son razonablemente correctos y son responsabilidad del emisor”.</w:t>
            </w:r>
          </w:p>
        </w:tc>
      </w:tr>
      <w:tr w:rsidR="00424863" w:rsidRPr="00424863" w14:paraId="5715636B" w14:textId="77777777" w:rsidTr="00424863">
        <w:trPr>
          <w:trHeight w:val="225"/>
        </w:trPr>
        <w:tc>
          <w:tcPr>
            <w:tcW w:w="154" w:type="dxa"/>
            <w:tcBorders>
              <w:top w:val="nil"/>
              <w:left w:val="nil"/>
              <w:bottom w:val="nil"/>
              <w:right w:val="nil"/>
            </w:tcBorders>
            <w:shd w:val="clear" w:color="auto" w:fill="auto"/>
            <w:noWrap/>
            <w:hideMark/>
          </w:tcPr>
          <w:p w14:paraId="56516BD5" w14:textId="77777777" w:rsidR="00424863" w:rsidRPr="00424863" w:rsidRDefault="00424863" w:rsidP="005274F7">
            <w:pPr>
              <w:spacing w:after="0"/>
              <w:jc w:val="center"/>
              <w:rPr>
                <w:rFonts w:ascii="Arial" w:eastAsia="Times New Roman" w:hAnsi="Arial" w:cs="Arial"/>
                <w:sz w:val="16"/>
                <w:szCs w:val="16"/>
                <w:lang w:val="es-ES" w:eastAsia="es-ES"/>
              </w:rPr>
            </w:pPr>
          </w:p>
        </w:tc>
        <w:tc>
          <w:tcPr>
            <w:tcW w:w="10786" w:type="dxa"/>
            <w:tcBorders>
              <w:top w:val="nil"/>
              <w:left w:val="nil"/>
              <w:bottom w:val="nil"/>
              <w:right w:val="nil"/>
            </w:tcBorders>
            <w:shd w:val="clear" w:color="auto" w:fill="auto"/>
            <w:hideMark/>
          </w:tcPr>
          <w:p w14:paraId="0CA2A80B" w14:textId="77777777" w:rsidR="00424863" w:rsidRPr="00424863" w:rsidRDefault="00424863" w:rsidP="005274F7">
            <w:pPr>
              <w:spacing w:after="0"/>
              <w:rPr>
                <w:rFonts w:ascii="Times New Roman" w:eastAsia="Times New Roman" w:hAnsi="Times New Roman"/>
                <w:sz w:val="20"/>
                <w:szCs w:val="20"/>
                <w:lang w:val="es-ES" w:eastAsia="es-ES"/>
              </w:rPr>
            </w:pPr>
          </w:p>
        </w:tc>
      </w:tr>
      <w:tr w:rsidR="00424863" w:rsidRPr="00424863" w14:paraId="1639D03D" w14:textId="77777777" w:rsidTr="00424863">
        <w:trPr>
          <w:trHeight w:val="225"/>
        </w:trPr>
        <w:tc>
          <w:tcPr>
            <w:tcW w:w="154" w:type="dxa"/>
            <w:tcBorders>
              <w:top w:val="nil"/>
              <w:left w:val="nil"/>
              <w:bottom w:val="nil"/>
              <w:right w:val="nil"/>
            </w:tcBorders>
            <w:shd w:val="clear" w:color="auto" w:fill="auto"/>
            <w:noWrap/>
            <w:hideMark/>
          </w:tcPr>
          <w:p w14:paraId="6A93ED44" w14:textId="77777777" w:rsidR="00424863" w:rsidRPr="00424863" w:rsidRDefault="00424863" w:rsidP="005274F7">
            <w:pPr>
              <w:spacing w:after="0"/>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48022B09" w14:textId="77777777" w:rsidR="00424863" w:rsidRPr="00424863" w:rsidRDefault="00424863" w:rsidP="005274F7">
            <w:pPr>
              <w:spacing w:after="0"/>
              <w:rPr>
                <w:rFonts w:ascii="Times New Roman" w:eastAsia="Times New Roman" w:hAnsi="Times New Roman"/>
                <w:sz w:val="20"/>
                <w:szCs w:val="20"/>
                <w:lang w:val="es-ES" w:eastAsia="es-ES"/>
              </w:rPr>
            </w:pPr>
          </w:p>
        </w:tc>
      </w:tr>
      <w:tr w:rsidR="00424863" w:rsidRPr="00424863" w14:paraId="1C146115" w14:textId="77777777" w:rsidTr="00424863">
        <w:trPr>
          <w:trHeight w:val="225"/>
        </w:trPr>
        <w:tc>
          <w:tcPr>
            <w:tcW w:w="154" w:type="dxa"/>
            <w:tcBorders>
              <w:top w:val="nil"/>
              <w:left w:val="nil"/>
              <w:bottom w:val="nil"/>
              <w:right w:val="nil"/>
            </w:tcBorders>
            <w:shd w:val="clear" w:color="auto" w:fill="auto"/>
            <w:noWrap/>
            <w:hideMark/>
          </w:tcPr>
          <w:p w14:paraId="42F67114" w14:textId="77777777" w:rsidR="00424863" w:rsidRPr="00424863" w:rsidRDefault="00424863" w:rsidP="005274F7">
            <w:pPr>
              <w:spacing w:after="0"/>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035CD998" w14:textId="15CD0A14" w:rsidR="00424863" w:rsidRPr="00424863" w:rsidRDefault="00424863" w:rsidP="005274F7">
            <w:pPr>
              <w:spacing w:after="0"/>
              <w:rPr>
                <w:rFonts w:ascii="Times New Roman" w:eastAsia="Times New Roman" w:hAnsi="Times New Roman"/>
                <w:sz w:val="20"/>
                <w:szCs w:val="20"/>
                <w:lang w:val="es-ES" w:eastAsia="es-ES"/>
              </w:rPr>
            </w:pPr>
          </w:p>
        </w:tc>
      </w:tr>
      <w:tr w:rsidR="00424863" w:rsidRPr="00424863" w14:paraId="403B8044" w14:textId="77777777" w:rsidTr="00424863">
        <w:trPr>
          <w:trHeight w:val="225"/>
        </w:trPr>
        <w:tc>
          <w:tcPr>
            <w:tcW w:w="10940" w:type="dxa"/>
            <w:gridSpan w:val="2"/>
            <w:tcBorders>
              <w:top w:val="nil"/>
              <w:left w:val="nil"/>
              <w:bottom w:val="nil"/>
              <w:right w:val="nil"/>
            </w:tcBorders>
            <w:shd w:val="clear" w:color="auto" w:fill="auto"/>
            <w:hideMark/>
          </w:tcPr>
          <w:p w14:paraId="54DD1355" w14:textId="07F525FD" w:rsidR="00424863" w:rsidRPr="00424863" w:rsidRDefault="00424863" w:rsidP="005274F7">
            <w:pPr>
              <w:spacing w:after="0"/>
              <w:jc w:val="center"/>
              <w:rPr>
                <w:rFonts w:ascii="Arial" w:eastAsia="Times New Roman" w:hAnsi="Arial" w:cs="Arial"/>
                <w:b/>
                <w:bCs/>
                <w:sz w:val="16"/>
                <w:szCs w:val="16"/>
                <w:lang w:val="es-ES" w:eastAsia="es-ES"/>
              </w:rPr>
            </w:pPr>
            <w:r w:rsidRPr="00424863">
              <w:rPr>
                <w:rFonts w:ascii="Arial" w:eastAsia="Times New Roman" w:hAnsi="Arial" w:cs="Arial"/>
                <w:b/>
                <w:bCs/>
                <w:sz w:val="16"/>
                <w:szCs w:val="16"/>
                <w:lang w:val="es-ES" w:eastAsia="es-ES"/>
              </w:rPr>
              <w:t>ATENTAMENTE</w:t>
            </w:r>
          </w:p>
        </w:tc>
      </w:tr>
      <w:tr w:rsidR="00424863" w:rsidRPr="00424863" w14:paraId="40591717" w14:textId="77777777" w:rsidTr="00424863">
        <w:trPr>
          <w:trHeight w:val="225"/>
        </w:trPr>
        <w:tc>
          <w:tcPr>
            <w:tcW w:w="154" w:type="dxa"/>
            <w:tcBorders>
              <w:top w:val="nil"/>
              <w:left w:val="nil"/>
              <w:bottom w:val="nil"/>
              <w:right w:val="nil"/>
            </w:tcBorders>
            <w:shd w:val="clear" w:color="auto" w:fill="auto"/>
            <w:noWrap/>
            <w:hideMark/>
          </w:tcPr>
          <w:p w14:paraId="45B4891E" w14:textId="77777777" w:rsidR="00424863" w:rsidRPr="00424863" w:rsidRDefault="00424863" w:rsidP="005274F7">
            <w:pPr>
              <w:spacing w:after="0"/>
              <w:jc w:val="center"/>
              <w:rPr>
                <w:rFonts w:ascii="Arial" w:eastAsia="Times New Roman" w:hAnsi="Arial" w:cs="Arial"/>
                <w:b/>
                <w:bCs/>
                <w:sz w:val="16"/>
                <w:szCs w:val="16"/>
                <w:lang w:val="es-ES" w:eastAsia="es-ES"/>
              </w:rPr>
            </w:pPr>
          </w:p>
        </w:tc>
        <w:tc>
          <w:tcPr>
            <w:tcW w:w="10786" w:type="dxa"/>
            <w:tcBorders>
              <w:top w:val="nil"/>
              <w:left w:val="nil"/>
              <w:bottom w:val="nil"/>
              <w:right w:val="nil"/>
            </w:tcBorders>
            <w:shd w:val="clear" w:color="auto" w:fill="auto"/>
            <w:hideMark/>
          </w:tcPr>
          <w:p w14:paraId="597C67E7" w14:textId="579CE1EB" w:rsidR="00424863" w:rsidRDefault="00424863" w:rsidP="005274F7">
            <w:pPr>
              <w:spacing w:after="0"/>
              <w:rPr>
                <w:rFonts w:ascii="Times New Roman" w:eastAsia="Times New Roman" w:hAnsi="Times New Roman"/>
                <w:sz w:val="20"/>
                <w:szCs w:val="20"/>
                <w:lang w:val="es-ES" w:eastAsia="es-ES"/>
              </w:rPr>
            </w:pPr>
          </w:p>
          <w:p w14:paraId="656385B2" w14:textId="77777777" w:rsidR="000B3502" w:rsidRDefault="000B3502" w:rsidP="005274F7">
            <w:pPr>
              <w:spacing w:after="0"/>
              <w:rPr>
                <w:rFonts w:ascii="Times New Roman" w:eastAsia="Times New Roman" w:hAnsi="Times New Roman"/>
                <w:sz w:val="20"/>
                <w:szCs w:val="20"/>
                <w:lang w:val="es-ES" w:eastAsia="es-ES"/>
              </w:rPr>
            </w:pPr>
          </w:p>
          <w:p w14:paraId="39FD2AA0" w14:textId="2399FBF4" w:rsidR="000B3502" w:rsidRPr="00424863" w:rsidRDefault="000B3502" w:rsidP="005274F7">
            <w:pPr>
              <w:spacing w:after="0"/>
              <w:rPr>
                <w:rFonts w:ascii="Times New Roman" w:eastAsia="Times New Roman" w:hAnsi="Times New Roman"/>
                <w:sz w:val="20"/>
                <w:szCs w:val="20"/>
                <w:lang w:val="es-ES" w:eastAsia="es-ES"/>
              </w:rPr>
            </w:pPr>
          </w:p>
        </w:tc>
      </w:tr>
      <w:tr w:rsidR="00424863" w:rsidRPr="00424863" w14:paraId="11215478" w14:textId="77777777" w:rsidTr="00424863">
        <w:trPr>
          <w:trHeight w:val="225"/>
        </w:trPr>
        <w:tc>
          <w:tcPr>
            <w:tcW w:w="154" w:type="dxa"/>
            <w:tcBorders>
              <w:top w:val="nil"/>
              <w:left w:val="nil"/>
              <w:bottom w:val="nil"/>
              <w:right w:val="nil"/>
            </w:tcBorders>
            <w:shd w:val="clear" w:color="auto" w:fill="auto"/>
            <w:noWrap/>
            <w:hideMark/>
          </w:tcPr>
          <w:p w14:paraId="34D79477" w14:textId="77777777" w:rsidR="00424863" w:rsidRPr="00424863" w:rsidRDefault="00424863" w:rsidP="005274F7">
            <w:pPr>
              <w:spacing w:after="0"/>
              <w:jc w:val="center"/>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4D675B2B" w14:textId="5ACB2B8B" w:rsidR="00424863" w:rsidRPr="00424863" w:rsidRDefault="00424863" w:rsidP="005274F7">
            <w:pPr>
              <w:spacing w:after="0"/>
              <w:rPr>
                <w:rFonts w:ascii="Times New Roman" w:eastAsia="Times New Roman" w:hAnsi="Times New Roman"/>
                <w:sz w:val="20"/>
                <w:szCs w:val="20"/>
                <w:lang w:val="es-ES" w:eastAsia="es-ES"/>
              </w:rPr>
            </w:pPr>
          </w:p>
        </w:tc>
      </w:tr>
      <w:tr w:rsidR="00424863" w:rsidRPr="00424863" w14:paraId="49E91FAF" w14:textId="77777777" w:rsidTr="00424863">
        <w:trPr>
          <w:trHeight w:val="225"/>
        </w:trPr>
        <w:tc>
          <w:tcPr>
            <w:tcW w:w="154" w:type="dxa"/>
            <w:tcBorders>
              <w:top w:val="nil"/>
              <w:left w:val="nil"/>
              <w:bottom w:val="nil"/>
              <w:right w:val="nil"/>
            </w:tcBorders>
            <w:shd w:val="clear" w:color="auto" w:fill="auto"/>
            <w:noWrap/>
            <w:hideMark/>
          </w:tcPr>
          <w:p w14:paraId="46B23CE3" w14:textId="77777777" w:rsidR="00424863" w:rsidRPr="00424863" w:rsidRDefault="00424863" w:rsidP="005274F7">
            <w:pPr>
              <w:spacing w:after="0"/>
              <w:jc w:val="center"/>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noWrap/>
            <w:hideMark/>
          </w:tcPr>
          <w:p w14:paraId="3ED69A45" w14:textId="316E170B" w:rsidR="00424863" w:rsidRPr="00424863" w:rsidRDefault="00424863" w:rsidP="005274F7">
            <w:pPr>
              <w:spacing w:after="0"/>
              <w:rPr>
                <w:rFonts w:ascii="Times New Roman" w:eastAsia="Times New Roman" w:hAnsi="Times New Roman"/>
                <w:sz w:val="20"/>
                <w:szCs w:val="20"/>
                <w:lang w:val="es-ES" w:eastAsia="es-ES"/>
              </w:rPr>
            </w:pPr>
          </w:p>
        </w:tc>
      </w:tr>
      <w:tr w:rsidR="00424863" w:rsidRPr="00424863" w14:paraId="09EA73BC" w14:textId="77777777" w:rsidTr="00424863">
        <w:trPr>
          <w:trHeight w:val="225"/>
        </w:trPr>
        <w:tc>
          <w:tcPr>
            <w:tcW w:w="10940" w:type="dxa"/>
            <w:gridSpan w:val="2"/>
            <w:tcBorders>
              <w:top w:val="nil"/>
              <w:left w:val="nil"/>
              <w:bottom w:val="nil"/>
              <w:right w:val="nil"/>
            </w:tcBorders>
            <w:shd w:val="clear" w:color="auto" w:fill="auto"/>
            <w:hideMark/>
          </w:tcPr>
          <w:p w14:paraId="33612789" w14:textId="6FF50C42" w:rsidR="000B3502" w:rsidRDefault="000B3502" w:rsidP="005274F7">
            <w:pPr>
              <w:spacing w:after="0"/>
              <w:jc w:val="center"/>
              <w:rPr>
                <w:rFonts w:ascii="Arial" w:eastAsia="Times New Roman" w:hAnsi="Arial" w:cs="Arial"/>
                <w:b/>
                <w:bCs/>
                <w:sz w:val="16"/>
                <w:szCs w:val="16"/>
                <w:lang w:val="es-ES" w:eastAsia="es-ES"/>
              </w:rPr>
            </w:pPr>
          </w:p>
          <w:p w14:paraId="0F715584" w14:textId="559E4245" w:rsidR="00424863" w:rsidRPr="00424863" w:rsidRDefault="00266FB0" w:rsidP="005274F7">
            <w:pPr>
              <w:spacing w:after="0"/>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 xml:space="preserve">Ing. Omar Hernández Álvarez </w:t>
            </w:r>
          </w:p>
        </w:tc>
      </w:tr>
      <w:tr w:rsidR="00424863" w:rsidRPr="00424863" w14:paraId="38B0F93D" w14:textId="77777777" w:rsidTr="00424863">
        <w:trPr>
          <w:trHeight w:val="225"/>
        </w:trPr>
        <w:tc>
          <w:tcPr>
            <w:tcW w:w="10940" w:type="dxa"/>
            <w:gridSpan w:val="2"/>
            <w:tcBorders>
              <w:top w:val="nil"/>
              <w:left w:val="nil"/>
              <w:bottom w:val="nil"/>
              <w:right w:val="nil"/>
            </w:tcBorders>
            <w:shd w:val="clear" w:color="auto" w:fill="auto"/>
            <w:noWrap/>
            <w:hideMark/>
          </w:tcPr>
          <w:p w14:paraId="0266B16B" w14:textId="171A0B43" w:rsidR="00424863" w:rsidRPr="00424863" w:rsidRDefault="00266FB0" w:rsidP="005274F7">
            <w:pPr>
              <w:spacing w:after="0"/>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DIRECTOR</w:t>
            </w:r>
            <w:r w:rsidR="00424863" w:rsidRPr="00424863">
              <w:rPr>
                <w:rFonts w:ascii="Arial" w:eastAsia="Times New Roman" w:hAnsi="Arial" w:cs="Arial"/>
                <w:b/>
                <w:bCs/>
                <w:sz w:val="16"/>
                <w:szCs w:val="16"/>
                <w:lang w:val="es-ES" w:eastAsia="es-ES"/>
              </w:rPr>
              <w:t xml:space="preserve"> PATRONATO DE LA FERIA REGIONAL PUERTA DE ORO DEL BAJÍO</w:t>
            </w:r>
          </w:p>
        </w:tc>
      </w:tr>
      <w:tr w:rsidR="00424863" w:rsidRPr="00424863" w14:paraId="5FA60F1D" w14:textId="77777777" w:rsidTr="00424863">
        <w:trPr>
          <w:trHeight w:val="225"/>
        </w:trPr>
        <w:tc>
          <w:tcPr>
            <w:tcW w:w="154" w:type="dxa"/>
            <w:tcBorders>
              <w:top w:val="nil"/>
              <w:left w:val="nil"/>
              <w:bottom w:val="nil"/>
              <w:right w:val="nil"/>
            </w:tcBorders>
            <w:shd w:val="clear" w:color="auto" w:fill="auto"/>
            <w:noWrap/>
            <w:vAlign w:val="bottom"/>
            <w:hideMark/>
          </w:tcPr>
          <w:p w14:paraId="785668CF" w14:textId="77777777" w:rsidR="00424863" w:rsidRPr="00424863" w:rsidRDefault="00424863" w:rsidP="005274F7">
            <w:pPr>
              <w:spacing w:after="0"/>
              <w:jc w:val="center"/>
              <w:rPr>
                <w:rFonts w:ascii="Arial" w:eastAsia="Times New Roman" w:hAnsi="Arial" w:cs="Arial"/>
                <w:b/>
                <w:bCs/>
                <w:sz w:val="16"/>
                <w:szCs w:val="16"/>
                <w:lang w:val="es-ES" w:eastAsia="es-ES"/>
              </w:rPr>
            </w:pPr>
          </w:p>
        </w:tc>
        <w:tc>
          <w:tcPr>
            <w:tcW w:w="10786" w:type="dxa"/>
            <w:tcBorders>
              <w:top w:val="nil"/>
              <w:left w:val="nil"/>
              <w:bottom w:val="nil"/>
              <w:right w:val="nil"/>
            </w:tcBorders>
            <w:shd w:val="clear" w:color="auto" w:fill="auto"/>
            <w:noWrap/>
            <w:vAlign w:val="bottom"/>
            <w:hideMark/>
          </w:tcPr>
          <w:p w14:paraId="6EA2F700" w14:textId="1CE2DD7A" w:rsidR="00424863" w:rsidRDefault="00424863" w:rsidP="005274F7">
            <w:pPr>
              <w:spacing w:after="0"/>
              <w:rPr>
                <w:rFonts w:ascii="Times New Roman" w:eastAsia="Times New Roman" w:hAnsi="Times New Roman"/>
                <w:sz w:val="20"/>
                <w:szCs w:val="20"/>
                <w:lang w:val="es-ES" w:eastAsia="es-ES"/>
              </w:rPr>
            </w:pPr>
          </w:p>
          <w:p w14:paraId="25FFC144" w14:textId="74B2484B" w:rsidR="009217EA" w:rsidRPr="00424863" w:rsidRDefault="009217EA" w:rsidP="005274F7">
            <w:pPr>
              <w:spacing w:after="0"/>
              <w:rPr>
                <w:rFonts w:ascii="Times New Roman" w:eastAsia="Times New Roman" w:hAnsi="Times New Roman"/>
                <w:sz w:val="20"/>
                <w:szCs w:val="20"/>
                <w:lang w:val="es-ES" w:eastAsia="es-ES"/>
              </w:rPr>
            </w:pPr>
          </w:p>
        </w:tc>
      </w:tr>
    </w:tbl>
    <w:p w14:paraId="24F5BFEF" w14:textId="1229CC81" w:rsidR="00A137B0" w:rsidRDefault="00A137B0" w:rsidP="005274F7">
      <w:pPr>
        <w:pBdr>
          <w:bottom w:val="single" w:sz="12" w:space="1" w:color="auto"/>
        </w:pBdr>
        <w:tabs>
          <w:tab w:val="left" w:leader="underscore" w:pos="9639"/>
        </w:tabs>
        <w:spacing w:after="0"/>
        <w:jc w:val="both"/>
        <w:rPr>
          <w:rFonts w:cs="Calibri"/>
        </w:rPr>
      </w:pPr>
    </w:p>
    <w:p w14:paraId="6E5E8049" w14:textId="77777777" w:rsidR="00A137B0" w:rsidRPr="00A137B0" w:rsidRDefault="00A137B0" w:rsidP="00A137B0">
      <w:pPr>
        <w:rPr>
          <w:rFonts w:cs="Calibri"/>
        </w:rPr>
      </w:pPr>
    </w:p>
    <w:p w14:paraId="07DE2BC1" w14:textId="318865D2" w:rsidR="00A137B0" w:rsidRDefault="00A137B0" w:rsidP="00A137B0">
      <w:pPr>
        <w:rPr>
          <w:rFonts w:cs="Calibri"/>
        </w:rPr>
      </w:pPr>
    </w:p>
    <w:p w14:paraId="58B70A3F" w14:textId="34425A68" w:rsidR="00424863" w:rsidRPr="00A137B0" w:rsidRDefault="00A137B0" w:rsidP="00A137B0">
      <w:pPr>
        <w:tabs>
          <w:tab w:val="left" w:pos="1845"/>
        </w:tabs>
        <w:rPr>
          <w:rFonts w:cs="Calibri"/>
        </w:rPr>
      </w:pPr>
      <w:r>
        <w:rPr>
          <w:rFonts w:cs="Calibri"/>
        </w:rPr>
        <w:tab/>
      </w:r>
      <w:bookmarkStart w:id="17" w:name="_GoBack"/>
      <w:bookmarkEnd w:id="17"/>
    </w:p>
    <w:sectPr w:rsidR="00424863" w:rsidRPr="00A137B0" w:rsidSect="007E6AFA">
      <w:headerReference w:type="default" r:id="rId13"/>
      <w:footerReference w:type="default" r:id="rId14"/>
      <w:pgSz w:w="12240" w:h="15840" w:code="1"/>
      <w:pgMar w:top="680" w:right="851" w:bottom="851"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76537" w14:textId="77777777" w:rsidR="0068769E" w:rsidRDefault="0068769E" w:rsidP="00E00323">
      <w:pPr>
        <w:spacing w:after="0" w:line="240" w:lineRule="auto"/>
      </w:pPr>
      <w:r>
        <w:separator/>
      </w:r>
    </w:p>
  </w:endnote>
  <w:endnote w:type="continuationSeparator" w:id="0">
    <w:p w14:paraId="7D1D5776" w14:textId="77777777" w:rsidR="0068769E" w:rsidRDefault="0068769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es-ES"/>
      </w:rPr>
      <w:id w:val="-1891951212"/>
      <w:docPartObj>
        <w:docPartGallery w:val="Page Numbers (Bottom of Page)"/>
        <w:docPartUnique/>
      </w:docPartObj>
    </w:sdtPr>
    <w:sdtEndPr>
      <w:rPr>
        <w:lang w:val="es-MX"/>
      </w:rPr>
    </w:sdtEndPr>
    <w:sdtContent>
      <w:p w14:paraId="35744AA9" w14:textId="0AAF6E3B" w:rsidR="007E6AFA" w:rsidRDefault="007E6AFA">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A137B0" w:rsidRPr="00A137B0">
          <w:rPr>
            <w:rFonts w:asciiTheme="majorHAnsi" w:eastAsiaTheme="majorEastAsia" w:hAnsiTheme="majorHAnsi" w:cstheme="majorBidi"/>
            <w:noProof/>
            <w:sz w:val="28"/>
            <w:szCs w:val="28"/>
            <w:lang w:val="es-ES"/>
          </w:rPr>
          <w:t>13</w:t>
        </w:r>
        <w:r>
          <w:rPr>
            <w:rFonts w:asciiTheme="majorHAnsi" w:eastAsiaTheme="majorEastAsia" w:hAnsiTheme="majorHAnsi" w:cstheme="majorBidi"/>
            <w:sz w:val="28"/>
            <w:szCs w:val="28"/>
          </w:rPr>
          <w:fldChar w:fldCharType="end"/>
        </w:r>
      </w:p>
    </w:sdtContent>
  </w:sdt>
  <w:p w14:paraId="4960F3A9"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DE51D" w14:textId="77777777" w:rsidR="0068769E" w:rsidRDefault="0068769E" w:rsidP="00E00323">
      <w:pPr>
        <w:spacing w:after="0" w:line="240" w:lineRule="auto"/>
      </w:pPr>
      <w:r>
        <w:separator/>
      </w:r>
    </w:p>
  </w:footnote>
  <w:footnote w:type="continuationSeparator" w:id="0">
    <w:p w14:paraId="298EDBC5" w14:textId="77777777" w:rsidR="0068769E" w:rsidRDefault="0068769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6BD2" w14:textId="0F15F55D" w:rsidR="00154BA3" w:rsidRDefault="00E67152" w:rsidP="00A4610E">
    <w:pPr>
      <w:pStyle w:val="Encabezado"/>
      <w:spacing w:after="0" w:line="240" w:lineRule="auto"/>
      <w:jc w:val="center"/>
    </w:pPr>
    <w:r>
      <w:t>PATRONATO DE LA FERIA REGIONAL PUERTA DE ORO DEL BAJÍO</w:t>
    </w:r>
  </w:p>
  <w:p w14:paraId="592028FF" w14:textId="20867EE6" w:rsidR="003F3AC3" w:rsidRDefault="00E67152" w:rsidP="003F3AC3">
    <w:pPr>
      <w:pStyle w:val="Encabezado"/>
      <w:spacing w:after="0" w:line="240" w:lineRule="auto"/>
      <w:jc w:val="center"/>
    </w:pPr>
    <w:r>
      <w:t>CORRESPONDINTES AL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5898"/>
    <w:rsid w:val="00036623"/>
    <w:rsid w:val="00040D4F"/>
    <w:rsid w:val="00041768"/>
    <w:rsid w:val="00054FF6"/>
    <w:rsid w:val="00057F55"/>
    <w:rsid w:val="00084EAE"/>
    <w:rsid w:val="00091CE6"/>
    <w:rsid w:val="000A578C"/>
    <w:rsid w:val="000B143D"/>
    <w:rsid w:val="000B3502"/>
    <w:rsid w:val="000B7810"/>
    <w:rsid w:val="000C3365"/>
    <w:rsid w:val="00116AAA"/>
    <w:rsid w:val="0012405A"/>
    <w:rsid w:val="00150D04"/>
    <w:rsid w:val="00154BA3"/>
    <w:rsid w:val="001973A2"/>
    <w:rsid w:val="001A75C9"/>
    <w:rsid w:val="001C75F2"/>
    <w:rsid w:val="001D2063"/>
    <w:rsid w:val="001D43E9"/>
    <w:rsid w:val="00226BEB"/>
    <w:rsid w:val="00263C88"/>
    <w:rsid w:val="00266FB0"/>
    <w:rsid w:val="002730ED"/>
    <w:rsid w:val="002813E5"/>
    <w:rsid w:val="00284325"/>
    <w:rsid w:val="00293F05"/>
    <w:rsid w:val="002B0699"/>
    <w:rsid w:val="002F7EF0"/>
    <w:rsid w:val="003453CA"/>
    <w:rsid w:val="0039141A"/>
    <w:rsid w:val="003F0075"/>
    <w:rsid w:val="003F3AC3"/>
    <w:rsid w:val="0041311D"/>
    <w:rsid w:val="00424863"/>
    <w:rsid w:val="00435A87"/>
    <w:rsid w:val="00450927"/>
    <w:rsid w:val="004A58C8"/>
    <w:rsid w:val="004F234D"/>
    <w:rsid w:val="004F3FD1"/>
    <w:rsid w:val="004F42A1"/>
    <w:rsid w:val="0052024E"/>
    <w:rsid w:val="005274F7"/>
    <w:rsid w:val="0054701E"/>
    <w:rsid w:val="00556D83"/>
    <w:rsid w:val="00560731"/>
    <w:rsid w:val="00590906"/>
    <w:rsid w:val="005B5531"/>
    <w:rsid w:val="005D3E43"/>
    <w:rsid w:val="005E231E"/>
    <w:rsid w:val="00635CDE"/>
    <w:rsid w:val="00657009"/>
    <w:rsid w:val="00664430"/>
    <w:rsid w:val="00672E00"/>
    <w:rsid w:val="00681C79"/>
    <w:rsid w:val="0068769E"/>
    <w:rsid w:val="006D3FCA"/>
    <w:rsid w:val="006E54D9"/>
    <w:rsid w:val="00724D14"/>
    <w:rsid w:val="00743BEE"/>
    <w:rsid w:val="007610BC"/>
    <w:rsid w:val="007714AB"/>
    <w:rsid w:val="00784061"/>
    <w:rsid w:val="007D1E76"/>
    <w:rsid w:val="007D4484"/>
    <w:rsid w:val="007E6AFA"/>
    <w:rsid w:val="007F362E"/>
    <w:rsid w:val="00804A34"/>
    <w:rsid w:val="00816B87"/>
    <w:rsid w:val="0086459F"/>
    <w:rsid w:val="0087373A"/>
    <w:rsid w:val="008B6D5C"/>
    <w:rsid w:val="008C3BB8"/>
    <w:rsid w:val="008E076C"/>
    <w:rsid w:val="008F2E17"/>
    <w:rsid w:val="00920CEC"/>
    <w:rsid w:val="009217EA"/>
    <w:rsid w:val="0092765C"/>
    <w:rsid w:val="009A3E59"/>
    <w:rsid w:val="00A03543"/>
    <w:rsid w:val="00A137B0"/>
    <w:rsid w:val="00A16487"/>
    <w:rsid w:val="00A4610E"/>
    <w:rsid w:val="00A730E0"/>
    <w:rsid w:val="00A94C0D"/>
    <w:rsid w:val="00AA2597"/>
    <w:rsid w:val="00AA41E5"/>
    <w:rsid w:val="00AB722B"/>
    <w:rsid w:val="00AE1F6A"/>
    <w:rsid w:val="00B579FD"/>
    <w:rsid w:val="00BE51C9"/>
    <w:rsid w:val="00C97E1E"/>
    <w:rsid w:val="00CB272D"/>
    <w:rsid w:val="00CB41C4"/>
    <w:rsid w:val="00CC74C5"/>
    <w:rsid w:val="00CF1316"/>
    <w:rsid w:val="00D11B1A"/>
    <w:rsid w:val="00D13C44"/>
    <w:rsid w:val="00D14EF0"/>
    <w:rsid w:val="00D24BF1"/>
    <w:rsid w:val="00D3392D"/>
    <w:rsid w:val="00D42FF6"/>
    <w:rsid w:val="00D44434"/>
    <w:rsid w:val="00D573B0"/>
    <w:rsid w:val="00D645D8"/>
    <w:rsid w:val="00D9493C"/>
    <w:rsid w:val="00D975B1"/>
    <w:rsid w:val="00DB6099"/>
    <w:rsid w:val="00DC2CCB"/>
    <w:rsid w:val="00E00323"/>
    <w:rsid w:val="00E06A87"/>
    <w:rsid w:val="00E67152"/>
    <w:rsid w:val="00E74967"/>
    <w:rsid w:val="00E7559F"/>
    <w:rsid w:val="00E96DD8"/>
    <w:rsid w:val="00EA37F5"/>
    <w:rsid w:val="00EA7915"/>
    <w:rsid w:val="00EC710B"/>
    <w:rsid w:val="00ED0734"/>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408BC"/>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D5C"/>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020764F-4949-400A-9797-33D8BACB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3194</Words>
  <Characters>17571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20</cp:revision>
  <cp:lastPrinted>2023-06-13T16:47:00Z</cp:lastPrinted>
  <dcterms:created xsi:type="dcterms:W3CDTF">2023-01-28T20:02:00Z</dcterms:created>
  <dcterms:modified xsi:type="dcterms:W3CDTF">2023-06-13T16:47:00Z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